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5C" w:rsidRPr="0099755C" w:rsidRDefault="0099755C" w:rsidP="0099755C">
      <w:pPr>
        <w:keepNext/>
        <w:keepLines/>
        <w:tabs>
          <w:tab w:val="left" w:pos="3756"/>
        </w:tabs>
        <w:spacing w:beforeLines="50" w:afterLines="50" w:line="376" w:lineRule="auto"/>
        <w:ind w:leftChars="50" w:left="105" w:rightChars="50" w:right="105" w:firstLineChars="9" w:firstLine="22"/>
        <w:jc w:val="center"/>
        <w:outlineLvl w:val="3"/>
        <w:rPr>
          <w:rFonts w:ascii="Calibri Light" w:eastAsia="黑体" w:hAnsi="Calibri Light" w:cs="Times New Roman"/>
          <w:bCs/>
          <w:sz w:val="24"/>
          <w:szCs w:val="28"/>
        </w:rPr>
      </w:pPr>
      <w:r w:rsidRPr="0099755C">
        <w:rPr>
          <w:rFonts w:ascii="Calibri Light" w:eastAsia="黑体" w:hAnsi="Calibri Light" w:cs="Times New Roman" w:hint="eastAsia"/>
          <w:bCs/>
          <w:sz w:val="24"/>
          <w:szCs w:val="28"/>
        </w:rPr>
        <w:t>海洋学院本科课程助教分配与管理办法</w:t>
      </w:r>
    </w:p>
    <w:p w:rsidR="0099755C" w:rsidRPr="0099755C" w:rsidRDefault="0099755C" w:rsidP="0099755C">
      <w:pPr>
        <w:adjustRightInd w:val="0"/>
        <w:snapToGrid w:val="0"/>
        <w:spacing w:beforeLines="50" w:after="156" w:line="360" w:lineRule="auto"/>
        <w:ind w:leftChars="50" w:left="105" w:rightChars="50" w:right="105" w:firstLineChars="200" w:firstLine="420"/>
        <w:rPr>
          <w:rFonts w:ascii="仿宋" w:eastAsia="仿宋" w:hAnsi="仿宋" w:cs="仿宋"/>
          <w:color w:val="000000"/>
          <w:szCs w:val="21"/>
        </w:rPr>
        <w:sectPr w:rsidR="0099755C" w:rsidRPr="0099755C">
          <w:pgSz w:w="11906" w:h="16838"/>
          <w:pgMar w:top="1440" w:right="1440" w:bottom="1440" w:left="1440" w:header="851" w:footer="992" w:gutter="0"/>
          <w:cols w:space="720" w:equalWidth="0">
            <w:col w:w="9026"/>
          </w:cols>
          <w:docGrid w:type="lines" w:linePitch="312"/>
        </w:sectPr>
      </w:pPr>
    </w:p>
    <w:p w:rsidR="0099755C" w:rsidRPr="0099755C" w:rsidRDefault="0099755C" w:rsidP="0099755C">
      <w:pPr>
        <w:adjustRightInd w:val="0"/>
        <w:snapToGrid w:val="0"/>
        <w:spacing w:beforeLines="50" w:line="324" w:lineRule="auto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9755C">
        <w:rPr>
          <w:rFonts w:ascii="宋体" w:eastAsia="宋体" w:hAnsi="宋体" w:cs="仿宋" w:hint="eastAsia"/>
          <w:color w:val="000000"/>
          <w:sz w:val="24"/>
          <w:szCs w:val="24"/>
        </w:rPr>
        <w:lastRenderedPageBreak/>
        <w:t>为保障本科课程教学质量，提高教师教学工作效率，促进课堂教学水平提升，根据《浙江大学本科课程助教工作管理办法》，结合我院实际，特制定本办法。</w:t>
      </w:r>
    </w:p>
    <w:p w:rsidR="0099755C" w:rsidRPr="0099755C" w:rsidRDefault="0099755C" w:rsidP="0099755C">
      <w:pPr>
        <w:adjustRightInd w:val="0"/>
        <w:snapToGrid w:val="0"/>
        <w:spacing w:beforeLines="20" w:line="324" w:lineRule="auto"/>
        <w:ind w:leftChars="50" w:left="105" w:rightChars="50" w:right="105" w:firstLineChars="200" w:firstLine="482"/>
        <w:rPr>
          <w:rFonts w:ascii="宋体" w:eastAsia="宋体" w:hAnsi="宋体" w:cs="仿宋"/>
          <w:b/>
          <w:color w:val="000000"/>
          <w:sz w:val="24"/>
          <w:szCs w:val="24"/>
        </w:rPr>
      </w:pPr>
      <w:r w:rsidRPr="0099755C">
        <w:rPr>
          <w:rFonts w:ascii="宋体" w:eastAsia="宋体" w:hAnsi="宋体" w:cs="仿宋" w:hint="eastAsia"/>
          <w:b/>
          <w:color w:val="000000"/>
          <w:sz w:val="24"/>
          <w:szCs w:val="24"/>
        </w:rPr>
        <w:t>一、助教申请与分配</w:t>
      </w:r>
    </w:p>
    <w:p w:rsidR="0099755C" w:rsidRPr="0099755C" w:rsidRDefault="0099755C" w:rsidP="0099755C">
      <w:pPr>
        <w:adjustRightInd w:val="0"/>
        <w:snapToGrid w:val="0"/>
        <w:spacing w:beforeLines="50" w:line="324" w:lineRule="auto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9755C">
        <w:rPr>
          <w:rFonts w:ascii="宋体" w:eastAsia="宋体" w:hAnsi="宋体" w:cs="仿宋" w:hint="eastAsia"/>
          <w:color w:val="000000"/>
          <w:sz w:val="24"/>
          <w:szCs w:val="24"/>
        </w:rPr>
        <w:t>1.教师申请：主讲教师根据教学需要，在“现代教务管理系统”中填写助教岗位申请表。</w:t>
      </w:r>
    </w:p>
    <w:p w:rsidR="0099755C" w:rsidRPr="0099755C" w:rsidRDefault="0099755C" w:rsidP="0099755C">
      <w:pPr>
        <w:adjustRightInd w:val="0"/>
        <w:snapToGrid w:val="0"/>
        <w:spacing w:beforeLines="50" w:line="324" w:lineRule="auto"/>
        <w:ind w:leftChars="50" w:left="105" w:rightChars="50" w:right="105" w:firstLineChars="200" w:firstLine="480"/>
        <w:rPr>
          <w:rFonts w:ascii="仿宋" w:eastAsia="仿宋" w:hAnsi="仿宋" w:cs="仿宋"/>
          <w:b/>
          <w:color w:val="000000"/>
          <w:szCs w:val="21"/>
        </w:rPr>
      </w:pPr>
      <w:r w:rsidRPr="0099755C">
        <w:rPr>
          <w:rFonts w:ascii="宋体" w:eastAsia="宋体" w:hAnsi="宋体" w:cs="仿宋" w:hint="eastAsia"/>
          <w:color w:val="000000"/>
          <w:sz w:val="24"/>
          <w:szCs w:val="24"/>
        </w:rPr>
        <w:t>2.学院分配：根据申请情况汇总（包括课程门数、学分、选课人数、学期及助教工作量等），统筹当学期助教总岗位数，依据下表“助教岗位分配计算表”课程学分、有无实验、选课人数等因素，计算和确定相关课程的助教岗位数。</w:t>
      </w:r>
    </w:p>
    <w:tbl>
      <w:tblPr>
        <w:tblpPr w:leftFromText="180" w:rightFromText="180" w:vertAnchor="text" w:tblpY="548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49"/>
        <w:gridCol w:w="1767"/>
        <w:gridCol w:w="1868"/>
        <w:gridCol w:w="1923"/>
        <w:gridCol w:w="1544"/>
      </w:tblGrid>
      <w:tr w:rsidR="0099755C" w:rsidRPr="0099755C" w:rsidTr="0099755C">
        <w:tc>
          <w:tcPr>
            <w:tcW w:w="2249" w:type="dxa"/>
            <w:vAlign w:val="center"/>
          </w:tcPr>
          <w:p w:rsidR="0099755C" w:rsidRPr="0099755C" w:rsidRDefault="0099755C" w:rsidP="0099755C">
            <w:pPr>
              <w:spacing w:line="324" w:lineRule="auto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99755C"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M1（学分）</w:t>
            </w:r>
          </w:p>
        </w:tc>
        <w:tc>
          <w:tcPr>
            <w:tcW w:w="1767" w:type="dxa"/>
            <w:vAlign w:val="center"/>
          </w:tcPr>
          <w:p w:rsidR="0099755C" w:rsidRPr="0099755C" w:rsidRDefault="0099755C" w:rsidP="0099755C">
            <w:pPr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99755C"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M2</w:t>
            </w:r>
          </w:p>
          <w:p w:rsidR="0099755C" w:rsidRPr="0099755C" w:rsidRDefault="0099755C" w:rsidP="0099755C">
            <w:pPr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99755C"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（有无实验）</w:t>
            </w:r>
          </w:p>
        </w:tc>
        <w:tc>
          <w:tcPr>
            <w:tcW w:w="1868" w:type="dxa"/>
            <w:vAlign w:val="center"/>
          </w:tcPr>
          <w:p w:rsidR="0099755C" w:rsidRPr="0099755C" w:rsidRDefault="0099755C" w:rsidP="0099755C">
            <w:pPr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99755C"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M3</w:t>
            </w:r>
          </w:p>
          <w:p w:rsidR="0099755C" w:rsidRPr="0099755C" w:rsidRDefault="0099755C" w:rsidP="0099755C">
            <w:pPr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99755C"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（选课人数）</w:t>
            </w:r>
          </w:p>
        </w:tc>
        <w:tc>
          <w:tcPr>
            <w:tcW w:w="1923" w:type="dxa"/>
            <w:vAlign w:val="center"/>
          </w:tcPr>
          <w:p w:rsidR="0099755C" w:rsidRPr="0099755C" w:rsidRDefault="0099755C" w:rsidP="0099755C">
            <w:pPr>
              <w:spacing w:line="324" w:lineRule="auto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99755C"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M=M1+ M2+ M3</w:t>
            </w:r>
          </w:p>
        </w:tc>
        <w:tc>
          <w:tcPr>
            <w:tcW w:w="1544" w:type="dxa"/>
            <w:vAlign w:val="center"/>
          </w:tcPr>
          <w:p w:rsidR="0099755C" w:rsidRPr="0099755C" w:rsidRDefault="0099755C" w:rsidP="0099755C">
            <w:pPr>
              <w:spacing w:line="324" w:lineRule="auto"/>
              <w:jc w:val="center"/>
              <w:rPr>
                <w:rFonts w:ascii="宋体" w:eastAsia="宋体" w:hAnsi="宋体" w:cs="仿宋"/>
                <w:b/>
                <w:color w:val="000000"/>
                <w:sz w:val="24"/>
                <w:szCs w:val="24"/>
              </w:rPr>
            </w:pPr>
            <w:r w:rsidRPr="0099755C"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岗位数</w:t>
            </w:r>
          </w:p>
        </w:tc>
      </w:tr>
      <w:tr w:rsidR="0099755C" w:rsidRPr="0099755C" w:rsidTr="0099755C">
        <w:trPr>
          <w:trHeight w:val="702"/>
        </w:trPr>
        <w:tc>
          <w:tcPr>
            <w:tcW w:w="2249" w:type="dxa"/>
            <w:vMerge w:val="restart"/>
          </w:tcPr>
          <w:p w:rsidR="0099755C" w:rsidRPr="0099755C" w:rsidRDefault="0099755C" w:rsidP="0099755C">
            <w:pPr>
              <w:spacing w:beforeLines="50"/>
              <w:ind w:leftChars="50" w:left="105" w:rightChars="50" w:right="105"/>
              <w:jc w:val="left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99755C"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1.0-2.0时 M1=0</w:t>
            </w:r>
          </w:p>
          <w:p w:rsidR="0099755C" w:rsidRPr="0099755C" w:rsidRDefault="0099755C" w:rsidP="0099755C">
            <w:pPr>
              <w:spacing w:beforeLines="50"/>
              <w:ind w:leftChars="50" w:left="105" w:rightChars="50" w:right="105"/>
              <w:jc w:val="left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99755C"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2.5时M1=1</w:t>
            </w:r>
          </w:p>
          <w:p w:rsidR="0099755C" w:rsidRPr="0099755C" w:rsidRDefault="0099755C" w:rsidP="0099755C">
            <w:pPr>
              <w:spacing w:beforeLines="50"/>
              <w:ind w:leftChars="50" w:left="105" w:rightChars="50" w:right="105"/>
              <w:jc w:val="left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99755C"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3.0-4.5时M1=2</w:t>
            </w:r>
          </w:p>
          <w:p w:rsidR="0099755C" w:rsidRPr="0099755C" w:rsidRDefault="0099755C" w:rsidP="0099755C">
            <w:pPr>
              <w:spacing w:beforeLines="50"/>
              <w:ind w:leftChars="50" w:left="105" w:rightChars="50" w:right="105"/>
              <w:jc w:val="left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99755C"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5.0及以上 M1=3</w:t>
            </w:r>
          </w:p>
        </w:tc>
        <w:tc>
          <w:tcPr>
            <w:tcW w:w="1767" w:type="dxa"/>
            <w:vMerge w:val="restart"/>
          </w:tcPr>
          <w:p w:rsidR="0099755C" w:rsidRPr="0099755C" w:rsidRDefault="0099755C" w:rsidP="0099755C">
            <w:pPr>
              <w:spacing w:beforeLines="50"/>
              <w:ind w:leftChars="50" w:left="105" w:rightChars="50" w:right="105"/>
              <w:jc w:val="left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99755C"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无实验M2=0</w:t>
            </w:r>
          </w:p>
          <w:p w:rsidR="0099755C" w:rsidRPr="0099755C" w:rsidRDefault="0099755C" w:rsidP="0099755C">
            <w:pPr>
              <w:spacing w:beforeLines="50"/>
              <w:ind w:leftChars="50" w:left="105" w:rightChars="50" w:right="105"/>
              <w:jc w:val="left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99755C"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实验学分0.5：M2=1</w:t>
            </w:r>
          </w:p>
          <w:p w:rsidR="0099755C" w:rsidRPr="0099755C" w:rsidRDefault="0099755C" w:rsidP="0099755C">
            <w:pPr>
              <w:spacing w:beforeLines="50"/>
              <w:ind w:leftChars="50" w:left="105" w:rightChars="50" w:right="105"/>
              <w:jc w:val="left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99755C"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实验学分≥1：M2=1.5</w:t>
            </w:r>
          </w:p>
        </w:tc>
        <w:tc>
          <w:tcPr>
            <w:tcW w:w="1868" w:type="dxa"/>
            <w:vMerge w:val="restart"/>
          </w:tcPr>
          <w:p w:rsidR="0099755C" w:rsidRPr="0099755C" w:rsidRDefault="0099755C" w:rsidP="0099755C">
            <w:pPr>
              <w:spacing w:beforeLines="50"/>
              <w:ind w:leftChars="50" w:left="105" w:rightChars="50" w:right="105"/>
              <w:jc w:val="left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99755C"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≥30， M3=1</w:t>
            </w:r>
          </w:p>
          <w:p w:rsidR="0099755C" w:rsidRPr="0099755C" w:rsidRDefault="0099755C" w:rsidP="0099755C">
            <w:pPr>
              <w:spacing w:beforeLines="50"/>
              <w:ind w:leftChars="50" w:left="105" w:rightChars="50" w:right="105"/>
              <w:jc w:val="left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99755C"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40～69 M3=2</w:t>
            </w:r>
          </w:p>
          <w:p w:rsidR="0099755C" w:rsidRPr="0099755C" w:rsidRDefault="0099755C" w:rsidP="0099755C">
            <w:pPr>
              <w:spacing w:beforeLines="50"/>
              <w:ind w:leftChars="50" w:left="105" w:rightChars="50" w:right="105"/>
              <w:jc w:val="left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99755C"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70及以上M3=3</w:t>
            </w:r>
          </w:p>
        </w:tc>
        <w:tc>
          <w:tcPr>
            <w:tcW w:w="1923" w:type="dxa"/>
            <w:vAlign w:val="center"/>
          </w:tcPr>
          <w:p w:rsidR="0099755C" w:rsidRPr="0099755C" w:rsidRDefault="0099755C" w:rsidP="0099755C">
            <w:pPr>
              <w:spacing w:beforeLines="50"/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99755C"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2--4</w:t>
            </w:r>
          </w:p>
        </w:tc>
        <w:tc>
          <w:tcPr>
            <w:tcW w:w="1544" w:type="dxa"/>
            <w:vAlign w:val="center"/>
          </w:tcPr>
          <w:p w:rsidR="0099755C" w:rsidRPr="0099755C" w:rsidRDefault="0099755C" w:rsidP="0099755C">
            <w:pPr>
              <w:spacing w:beforeLines="50"/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99755C"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0.2-0.4</w:t>
            </w:r>
          </w:p>
        </w:tc>
      </w:tr>
      <w:tr w:rsidR="0099755C" w:rsidRPr="0099755C" w:rsidTr="0099755C">
        <w:trPr>
          <w:trHeight w:val="698"/>
        </w:trPr>
        <w:tc>
          <w:tcPr>
            <w:tcW w:w="2249" w:type="dxa"/>
            <w:vMerge/>
            <w:vAlign w:val="center"/>
          </w:tcPr>
          <w:p w:rsidR="0099755C" w:rsidRPr="0099755C" w:rsidRDefault="0099755C" w:rsidP="0099755C">
            <w:pPr>
              <w:spacing w:beforeLines="50"/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9755C" w:rsidRPr="0099755C" w:rsidRDefault="0099755C" w:rsidP="0099755C">
            <w:pPr>
              <w:spacing w:beforeLines="50"/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Merge/>
            <w:vAlign w:val="center"/>
          </w:tcPr>
          <w:p w:rsidR="0099755C" w:rsidRPr="0099755C" w:rsidRDefault="0099755C" w:rsidP="0099755C">
            <w:pPr>
              <w:spacing w:beforeLines="50"/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99755C" w:rsidRPr="0099755C" w:rsidRDefault="0099755C" w:rsidP="0099755C">
            <w:pPr>
              <w:spacing w:beforeLines="50"/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99755C"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4.5--6.5</w:t>
            </w:r>
          </w:p>
        </w:tc>
        <w:tc>
          <w:tcPr>
            <w:tcW w:w="1544" w:type="dxa"/>
            <w:vAlign w:val="center"/>
          </w:tcPr>
          <w:p w:rsidR="0099755C" w:rsidRPr="0099755C" w:rsidRDefault="0099755C" w:rsidP="0099755C">
            <w:pPr>
              <w:spacing w:beforeLines="50"/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99755C"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0.4-0.6</w:t>
            </w:r>
          </w:p>
        </w:tc>
      </w:tr>
      <w:tr w:rsidR="0099755C" w:rsidRPr="0099755C" w:rsidTr="0099755C">
        <w:trPr>
          <w:trHeight w:val="553"/>
        </w:trPr>
        <w:tc>
          <w:tcPr>
            <w:tcW w:w="2249" w:type="dxa"/>
            <w:vMerge/>
            <w:vAlign w:val="center"/>
          </w:tcPr>
          <w:p w:rsidR="0099755C" w:rsidRPr="0099755C" w:rsidRDefault="0099755C" w:rsidP="0099755C">
            <w:pPr>
              <w:spacing w:beforeLines="50"/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9755C" w:rsidRPr="0099755C" w:rsidRDefault="0099755C" w:rsidP="0099755C">
            <w:pPr>
              <w:spacing w:beforeLines="50"/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Merge/>
            <w:vAlign w:val="center"/>
          </w:tcPr>
          <w:p w:rsidR="0099755C" w:rsidRPr="0099755C" w:rsidRDefault="0099755C" w:rsidP="0099755C">
            <w:pPr>
              <w:spacing w:beforeLines="50"/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99755C" w:rsidRPr="0099755C" w:rsidRDefault="0099755C" w:rsidP="0099755C">
            <w:pPr>
              <w:spacing w:beforeLines="50"/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99755C"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4" w:type="dxa"/>
            <w:vAlign w:val="center"/>
          </w:tcPr>
          <w:p w:rsidR="0099755C" w:rsidRPr="0099755C" w:rsidRDefault="0099755C" w:rsidP="0099755C">
            <w:pPr>
              <w:spacing w:beforeLines="50"/>
              <w:ind w:leftChars="50" w:left="105" w:rightChars="50" w:right="105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99755C"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0.6-0.75</w:t>
            </w:r>
          </w:p>
        </w:tc>
      </w:tr>
      <w:tr w:rsidR="0099755C" w:rsidRPr="0099755C" w:rsidTr="0099755C">
        <w:tc>
          <w:tcPr>
            <w:tcW w:w="9351" w:type="dxa"/>
            <w:gridSpan w:val="5"/>
          </w:tcPr>
          <w:p w:rsidR="0099755C" w:rsidRPr="0099755C" w:rsidRDefault="0099755C" w:rsidP="0099755C">
            <w:pPr>
              <w:adjustRightInd w:val="0"/>
              <w:snapToGrid w:val="0"/>
              <w:spacing w:beforeLines="50" w:afterLines="50" w:line="360" w:lineRule="auto"/>
              <w:ind w:leftChars="50" w:left="105" w:rightChars="50" w:right="105"/>
              <w:jc w:val="left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99755C"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创新性、探索性、研讨性课程建设，助教岗位分配不参考以上计算方法，本着鼓励支持的原则予以安排。</w:t>
            </w:r>
          </w:p>
        </w:tc>
      </w:tr>
    </w:tbl>
    <w:p w:rsidR="0099755C" w:rsidRPr="0099755C" w:rsidRDefault="0099755C" w:rsidP="0099755C">
      <w:pPr>
        <w:adjustRightInd w:val="0"/>
        <w:snapToGrid w:val="0"/>
        <w:spacing w:beforeLines="50" w:line="324" w:lineRule="auto"/>
        <w:ind w:leftChars="50" w:left="105" w:rightChars="50" w:right="105" w:firstLineChars="200" w:firstLine="422"/>
        <w:rPr>
          <w:rFonts w:ascii="仿宋" w:eastAsia="仿宋" w:hAnsi="仿宋" w:cs="仿宋"/>
          <w:b/>
          <w:color w:val="000000"/>
          <w:szCs w:val="21"/>
        </w:rPr>
      </w:pPr>
    </w:p>
    <w:p w:rsidR="0099755C" w:rsidRPr="0099755C" w:rsidRDefault="0099755C" w:rsidP="0099755C">
      <w:pPr>
        <w:spacing w:beforeLines="50" w:after="156" w:line="360" w:lineRule="auto"/>
        <w:ind w:leftChars="50" w:left="105" w:rightChars="50" w:right="105" w:firstLineChars="200" w:firstLine="482"/>
        <w:jc w:val="center"/>
        <w:rPr>
          <w:rFonts w:ascii="宋体" w:eastAsia="宋体" w:hAnsi="宋体" w:cs="仿宋"/>
          <w:color w:val="000000"/>
          <w:sz w:val="24"/>
          <w:szCs w:val="24"/>
        </w:rPr>
      </w:pPr>
      <w:r w:rsidRPr="0099755C">
        <w:rPr>
          <w:rFonts w:ascii="宋体" w:eastAsia="宋体" w:hAnsi="宋体" w:cs="仿宋" w:hint="eastAsia"/>
          <w:b/>
          <w:color w:val="000000"/>
          <w:sz w:val="24"/>
          <w:szCs w:val="24"/>
        </w:rPr>
        <w:t xml:space="preserve">表1 </w:t>
      </w:r>
      <w:r w:rsidRPr="0099755C">
        <w:rPr>
          <w:rFonts w:ascii="宋体" w:eastAsia="宋体" w:hAnsi="宋体" w:cs="仿宋" w:hint="eastAsia"/>
          <w:color w:val="000000"/>
          <w:sz w:val="24"/>
          <w:szCs w:val="24"/>
        </w:rPr>
        <w:t>助教岗位数分配计算表</w:t>
      </w:r>
    </w:p>
    <w:p w:rsidR="0099755C" w:rsidRPr="0099755C" w:rsidRDefault="0099755C" w:rsidP="0099755C">
      <w:pPr>
        <w:adjustRightInd w:val="0"/>
        <w:snapToGrid w:val="0"/>
        <w:spacing w:beforeLines="50" w:line="324" w:lineRule="auto"/>
        <w:ind w:leftChars="50" w:left="105" w:rightChars="50" w:right="105" w:firstLineChars="200" w:firstLine="422"/>
        <w:rPr>
          <w:rFonts w:ascii="仿宋" w:eastAsia="仿宋" w:hAnsi="仿宋" w:cs="仿宋"/>
          <w:b/>
          <w:color w:val="000000"/>
          <w:szCs w:val="21"/>
        </w:rPr>
      </w:pPr>
    </w:p>
    <w:p w:rsidR="0099755C" w:rsidRPr="0099755C" w:rsidRDefault="0099755C" w:rsidP="0099755C">
      <w:pPr>
        <w:adjustRightInd w:val="0"/>
        <w:snapToGrid w:val="0"/>
        <w:spacing w:beforeLines="20" w:line="324" w:lineRule="auto"/>
        <w:ind w:leftChars="50" w:left="105" w:rightChars="50" w:right="105" w:firstLineChars="200" w:firstLine="482"/>
        <w:rPr>
          <w:rFonts w:ascii="宋体" w:eastAsia="宋体" w:hAnsi="宋体" w:cs="仿宋"/>
          <w:b/>
          <w:color w:val="000000"/>
          <w:sz w:val="24"/>
          <w:szCs w:val="24"/>
        </w:rPr>
      </w:pPr>
      <w:r w:rsidRPr="0099755C">
        <w:rPr>
          <w:rFonts w:ascii="宋体" w:eastAsia="宋体" w:hAnsi="宋体" w:cs="仿宋" w:hint="eastAsia"/>
          <w:b/>
          <w:color w:val="000000"/>
          <w:sz w:val="24"/>
          <w:szCs w:val="24"/>
        </w:rPr>
        <w:t>二、助教聘任</w:t>
      </w:r>
    </w:p>
    <w:p w:rsidR="0099755C" w:rsidRPr="0099755C" w:rsidRDefault="0099755C" w:rsidP="0099755C">
      <w:pPr>
        <w:adjustRightInd w:val="0"/>
        <w:snapToGrid w:val="0"/>
        <w:spacing w:beforeLines="50" w:line="324" w:lineRule="auto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9755C">
        <w:rPr>
          <w:rFonts w:ascii="宋体" w:eastAsia="宋体" w:hAnsi="宋体" w:cs="仿宋" w:hint="eastAsia"/>
          <w:color w:val="000000"/>
          <w:sz w:val="24"/>
          <w:szCs w:val="24"/>
        </w:rPr>
        <w:t>助教岗位原则上面向在校的全日制非在职博士研究生、硕士研究生和优秀高年级本科生，以研究生为主。申请学生应满足以下条件：</w:t>
      </w:r>
    </w:p>
    <w:p w:rsidR="0099755C" w:rsidRPr="0099755C" w:rsidRDefault="0099755C" w:rsidP="0099755C">
      <w:pPr>
        <w:adjustRightInd w:val="0"/>
        <w:snapToGrid w:val="0"/>
        <w:spacing w:beforeLines="20" w:line="324" w:lineRule="auto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9755C">
        <w:rPr>
          <w:rFonts w:ascii="宋体" w:eastAsia="宋体" w:hAnsi="宋体" w:cs="仿宋" w:hint="eastAsia"/>
          <w:color w:val="000000"/>
          <w:sz w:val="24"/>
          <w:szCs w:val="24"/>
        </w:rPr>
        <w:t>1.品行端正，身心健康，有责任感和进取心；</w:t>
      </w:r>
    </w:p>
    <w:p w:rsidR="0099755C" w:rsidRPr="0099755C" w:rsidRDefault="0099755C" w:rsidP="0099755C">
      <w:pPr>
        <w:adjustRightInd w:val="0"/>
        <w:snapToGrid w:val="0"/>
        <w:spacing w:beforeLines="20" w:line="324" w:lineRule="auto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9755C">
        <w:rPr>
          <w:rFonts w:ascii="宋体" w:eastAsia="宋体" w:hAnsi="宋体" w:cs="仿宋" w:hint="eastAsia"/>
          <w:color w:val="000000"/>
          <w:sz w:val="24"/>
          <w:szCs w:val="24"/>
        </w:rPr>
        <w:t>2.学业情况良好，无各类考试成绩不及格；</w:t>
      </w:r>
    </w:p>
    <w:p w:rsidR="0099755C" w:rsidRPr="0099755C" w:rsidRDefault="0099755C" w:rsidP="0099755C">
      <w:pPr>
        <w:adjustRightInd w:val="0"/>
        <w:snapToGrid w:val="0"/>
        <w:spacing w:beforeLines="20" w:line="324" w:lineRule="auto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9755C">
        <w:rPr>
          <w:rFonts w:ascii="宋体" w:eastAsia="宋体" w:hAnsi="宋体" w:cs="仿宋" w:hint="eastAsia"/>
          <w:color w:val="000000"/>
          <w:sz w:val="24"/>
          <w:szCs w:val="24"/>
        </w:rPr>
        <w:t>3.在本科或研究生期间，学习过相近课程，成绩优异；</w:t>
      </w:r>
    </w:p>
    <w:p w:rsidR="0099755C" w:rsidRPr="0099755C" w:rsidRDefault="0099755C" w:rsidP="0099755C">
      <w:pPr>
        <w:adjustRightInd w:val="0"/>
        <w:snapToGrid w:val="0"/>
        <w:spacing w:beforeLines="50" w:line="324" w:lineRule="auto"/>
        <w:ind w:leftChars="50" w:left="105" w:rightChars="50" w:right="105" w:firstLineChars="200" w:firstLine="422"/>
        <w:rPr>
          <w:rFonts w:ascii="仿宋" w:eastAsia="仿宋" w:hAnsi="仿宋" w:cs="仿宋"/>
          <w:b/>
          <w:color w:val="000000"/>
          <w:szCs w:val="21"/>
        </w:rPr>
        <w:sectPr w:rsidR="0099755C" w:rsidRPr="0099755C">
          <w:type w:val="continuous"/>
          <w:pgSz w:w="11906" w:h="16838"/>
          <w:pgMar w:top="1440" w:right="1440" w:bottom="1440" w:left="1440" w:header="851" w:footer="992" w:gutter="0"/>
          <w:cols w:space="425"/>
          <w:docGrid w:type="lines" w:linePitch="312"/>
        </w:sectPr>
      </w:pPr>
    </w:p>
    <w:p w:rsidR="0099755C" w:rsidRPr="0099755C" w:rsidRDefault="0099755C" w:rsidP="0099755C">
      <w:pPr>
        <w:adjustRightInd w:val="0"/>
        <w:snapToGrid w:val="0"/>
        <w:spacing w:beforeLines="20" w:line="324" w:lineRule="auto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9755C">
        <w:rPr>
          <w:rFonts w:ascii="宋体" w:eastAsia="宋体" w:hAnsi="宋体" w:cs="仿宋" w:hint="eastAsia"/>
          <w:color w:val="000000"/>
          <w:sz w:val="24"/>
          <w:szCs w:val="24"/>
        </w:rPr>
        <w:lastRenderedPageBreak/>
        <w:t>4.无违反校规校纪等不良行为。</w:t>
      </w:r>
    </w:p>
    <w:p w:rsidR="0099755C" w:rsidRPr="0099755C" w:rsidRDefault="0099755C" w:rsidP="0099755C">
      <w:pPr>
        <w:adjustRightInd w:val="0"/>
        <w:snapToGrid w:val="0"/>
        <w:spacing w:beforeLines="20" w:line="324" w:lineRule="auto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9755C">
        <w:rPr>
          <w:rFonts w:ascii="宋体" w:eastAsia="宋体" w:hAnsi="宋体" w:cs="仿宋" w:hint="eastAsia"/>
          <w:color w:val="000000"/>
          <w:sz w:val="24"/>
          <w:szCs w:val="24"/>
        </w:rPr>
        <w:t>同等条件下优先考虑家庭经济困难学生。</w:t>
      </w:r>
    </w:p>
    <w:p w:rsidR="0099755C" w:rsidRPr="0099755C" w:rsidRDefault="0099755C" w:rsidP="0099755C">
      <w:pPr>
        <w:adjustRightInd w:val="0"/>
        <w:snapToGrid w:val="0"/>
        <w:spacing w:beforeLines="20" w:line="324" w:lineRule="auto"/>
        <w:ind w:leftChars="50" w:left="105" w:rightChars="50" w:right="105" w:firstLineChars="200" w:firstLine="482"/>
        <w:rPr>
          <w:rFonts w:ascii="宋体" w:eastAsia="宋体" w:hAnsi="宋体" w:cs="仿宋"/>
          <w:b/>
          <w:color w:val="000000"/>
          <w:sz w:val="24"/>
          <w:szCs w:val="24"/>
        </w:rPr>
      </w:pPr>
      <w:r w:rsidRPr="0099755C">
        <w:rPr>
          <w:rFonts w:ascii="宋体" w:eastAsia="宋体" w:hAnsi="宋体" w:cs="仿宋" w:hint="eastAsia"/>
          <w:b/>
          <w:color w:val="000000"/>
          <w:sz w:val="24"/>
          <w:szCs w:val="24"/>
        </w:rPr>
        <w:t>三、助教职责</w:t>
      </w:r>
    </w:p>
    <w:p w:rsidR="0099755C" w:rsidRPr="0099755C" w:rsidRDefault="0099755C" w:rsidP="0099755C">
      <w:pPr>
        <w:spacing w:beforeLines="50" w:line="324" w:lineRule="auto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9755C">
        <w:rPr>
          <w:rFonts w:ascii="宋体" w:eastAsia="宋体" w:hAnsi="宋体" w:cs="仿宋" w:hint="eastAsia"/>
          <w:color w:val="000000"/>
          <w:sz w:val="24"/>
          <w:szCs w:val="24"/>
        </w:rPr>
        <w:t>1. 助教应听从任课的课程教学辅助安排，参与课程教学的多个环节，包括随堂听课、组织讨论课或习题课、课堂管理、课外辅导与答疑、批改作业或实验报告、参与教学准备与考核、教学信息收集与分析等，教学辅助工作。</w:t>
      </w:r>
    </w:p>
    <w:p w:rsidR="0099755C" w:rsidRPr="0099755C" w:rsidRDefault="0099755C" w:rsidP="0099755C">
      <w:pPr>
        <w:adjustRightInd w:val="0"/>
        <w:snapToGrid w:val="0"/>
        <w:spacing w:beforeLines="20" w:line="324" w:lineRule="auto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9755C">
        <w:rPr>
          <w:rFonts w:ascii="宋体" w:eastAsia="宋体" w:hAnsi="宋体" w:cs="仿宋" w:hint="eastAsia"/>
          <w:color w:val="000000"/>
          <w:sz w:val="24"/>
          <w:szCs w:val="24"/>
        </w:rPr>
        <w:t>2. 助教要协助任课教师完成网络平台课程建设，以及课程过程管理。</w:t>
      </w:r>
    </w:p>
    <w:p w:rsidR="0099755C" w:rsidRPr="0099755C" w:rsidRDefault="0099755C" w:rsidP="0099755C">
      <w:pPr>
        <w:spacing w:beforeLines="50" w:line="324" w:lineRule="auto"/>
        <w:ind w:leftChars="50" w:left="105" w:rightChars="50" w:right="105" w:firstLineChars="197" w:firstLine="473"/>
        <w:rPr>
          <w:rFonts w:ascii="宋体" w:eastAsia="宋体" w:hAnsi="宋体" w:cs="仿宋"/>
          <w:color w:val="000000"/>
          <w:sz w:val="24"/>
          <w:szCs w:val="24"/>
        </w:rPr>
      </w:pPr>
      <w:r w:rsidRPr="0099755C">
        <w:rPr>
          <w:rFonts w:ascii="宋体" w:eastAsia="宋体" w:hAnsi="宋体" w:cs="仿宋" w:hint="eastAsia"/>
          <w:color w:val="000000"/>
          <w:sz w:val="24"/>
          <w:szCs w:val="24"/>
        </w:rPr>
        <w:t>3. 助教应认真学习助教工作手册等资料，积极参加学校、学院（系）组织的相关培训，接受主讲教师和有关部门的安排和指导。</w:t>
      </w:r>
    </w:p>
    <w:p w:rsidR="0099755C" w:rsidRPr="0099755C" w:rsidRDefault="0099755C" w:rsidP="0099755C">
      <w:pPr>
        <w:adjustRightInd w:val="0"/>
        <w:snapToGrid w:val="0"/>
        <w:spacing w:beforeLines="20" w:line="324" w:lineRule="auto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9755C">
        <w:rPr>
          <w:rFonts w:ascii="宋体" w:eastAsia="宋体" w:hAnsi="宋体" w:cs="仿宋" w:hint="eastAsia"/>
          <w:color w:val="000000"/>
          <w:sz w:val="24"/>
          <w:szCs w:val="24"/>
        </w:rPr>
        <w:t>4. 助教工作结束后要完成工作总结评价表（见附件1）</w:t>
      </w:r>
    </w:p>
    <w:p w:rsidR="0099755C" w:rsidRPr="0099755C" w:rsidRDefault="0099755C" w:rsidP="0099755C">
      <w:pPr>
        <w:adjustRightInd w:val="0"/>
        <w:snapToGrid w:val="0"/>
        <w:spacing w:beforeLines="20" w:line="324" w:lineRule="auto"/>
        <w:ind w:leftChars="50" w:left="105" w:rightChars="50" w:right="105" w:firstLineChars="200" w:firstLine="482"/>
        <w:rPr>
          <w:rFonts w:ascii="宋体" w:eastAsia="宋体" w:hAnsi="宋体" w:cs="仿宋"/>
          <w:b/>
          <w:color w:val="000000"/>
          <w:sz w:val="24"/>
          <w:szCs w:val="24"/>
        </w:rPr>
      </w:pPr>
      <w:r w:rsidRPr="0099755C">
        <w:rPr>
          <w:rFonts w:ascii="宋体" w:eastAsia="宋体" w:hAnsi="宋体" w:cs="仿宋" w:hint="eastAsia"/>
          <w:b/>
          <w:color w:val="000000"/>
          <w:sz w:val="24"/>
          <w:szCs w:val="24"/>
        </w:rPr>
        <w:t>四、助教工作考核</w:t>
      </w:r>
    </w:p>
    <w:p w:rsidR="0099755C" w:rsidRPr="0099755C" w:rsidRDefault="0099755C" w:rsidP="0099755C">
      <w:pPr>
        <w:spacing w:beforeLines="50" w:line="324" w:lineRule="auto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9755C">
        <w:rPr>
          <w:rFonts w:ascii="宋体" w:eastAsia="宋体" w:hAnsi="宋体" w:cs="仿宋" w:hint="eastAsia"/>
          <w:color w:val="000000"/>
          <w:sz w:val="24"/>
          <w:szCs w:val="24"/>
        </w:rPr>
        <w:t>（1）助教的评价实行谁使用谁评价的原则，由主讲教师及设岗学院（系）于每学期期末完成；任课教师应根据助教的实际工作情况、业绩和实际效果，客观地进行评价。评价方式采用课程学生评价和主讲教师评价相结合的形式，其中学生评价占60%，主讲教师评价占20%，教学管理教师评价占20%。</w:t>
      </w:r>
    </w:p>
    <w:p w:rsidR="0099755C" w:rsidRPr="0099755C" w:rsidRDefault="0099755C" w:rsidP="0099755C">
      <w:pPr>
        <w:spacing w:beforeLines="50" w:line="324" w:lineRule="auto"/>
        <w:ind w:leftChars="50" w:left="105" w:rightChars="50" w:right="105" w:firstLineChars="199" w:firstLine="478"/>
        <w:rPr>
          <w:rFonts w:ascii="宋体" w:eastAsia="宋体" w:hAnsi="宋体" w:cs="仿宋"/>
          <w:color w:val="000000"/>
          <w:sz w:val="24"/>
          <w:szCs w:val="24"/>
        </w:rPr>
      </w:pPr>
      <w:r w:rsidRPr="0099755C">
        <w:rPr>
          <w:rFonts w:ascii="宋体" w:eastAsia="宋体" w:hAnsi="宋体" w:cs="仿宋" w:hint="eastAsia"/>
          <w:color w:val="000000"/>
          <w:sz w:val="24"/>
          <w:szCs w:val="24"/>
        </w:rPr>
        <w:t>助教评价结果分优、良、合三个等级，优、良、合评价结果分别占比为30%、50%、20%。</w:t>
      </w:r>
    </w:p>
    <w:p w:rsidR="0099755C" w:rsidRPr="0099755C" w:rsidRDefault="0099755C" w:rsidP="0099755C">
      <w:pPr>
        <w:adjustRightInd w:val="0"/>
        <w:snapToGrid w:val="0"/>
        <w:spacing w:beforeLines="20" w:line="324" w:lineRule="auto"/>
        <w:ind w:leftChars="50" w:left="105" w:rightChars="50" w:right="105" w:firstLineChars="200" w:firstLine="482"/>
        <w:rPr>
          <w:rFonts w:ascii="宋体" w:eastAsia="宋体" w:hAnsi="宋体" w:cs="仿宋"/>
          <w:b/>
          <w:color w:val="000000"/>
          <w:sz w:val="24"/>
          <w:szCs w:val="24"/>
        </w:rPr>
      </w:pPr>
      <w:r w:rsidRPr="0099755C">
        <w:rPr>
          <w:rFonts w:ascii="宋体" w:eastAsia="宋体" w:hAnsi="宋体" w:cs="仿宋" w:hint="eastAsia"/>
          <w:b/>
          <w:color w:val="000000"/>
          <w:sz w:val="24"/>
          <w:szCs w:val="24"/>
        </w:rPr>
        <w:t>五、助教津贴发放</w:t>
      </w:r>
    </w:p>
    <w:p w:rsidR="0099755C" w:rsidRPr="0099755C" w:rsidRDefault="0099755C" w:rsidP="0099755C">
      <w:pPr>
        <w:adjustRightInd w:val="0"/>
        <w:snapToGrid w:val="0"/>
        <w:spacing w:beforeLines="20" w:line="324" w:lineRule="auto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9755C">
        <w:rPr>
          <w:rFonts w:ascii="宋体" w:eastAsia="宋体" w:hAnsi="宋体" w:cs="仿宋" w:hint="eastAsia"/>
          <w:color w:val="000000"/>
          <w:sz w:val="24"/>
          <w:szCs w:val="24"/>
        </w:rPr>
        <w:t>1. 助教岗位津贴由基本津贴（80%）和浮动津贴（20%）两部分组成。</w:t>
      </w:r>
    </w:p>
    <w:p w:rsidR="0099755C" w:rsidRPr="0099755C" w:rsidRDefault="0099755C" w:rsidP="0099755C">
      <w:pPr>
        <w:spacing w:beforeLines="50" w:line="324" w:lineRule="auto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9755C">
        <w:rPr>
          <w:rFonts w:ascii="宋体" w:eastAsia="宋体" w:hAnsi="宋体" w:cs="仿宋" w:hint="eastAsia"/>
          <w:color w:val="000000"/>
          <w:sz w:val="24"/>
          <w:szCs w:val="24"/>
        </w:rPr>
        <w:t>2. 助教评价作为发放岗位津贴的依据。其中评价结果为优秀除发放全部岗位津贴外，再奖励其助教费的20%；评价良好的助教，发放全部岗位津贴；评价结果合格的助教，扣除浮动津贴，发放基本津贴部分。</w:t>
      </w:r>
    </w:p>
    <w:p w:rsidR="0099755C" w:rsidRPr="0099755C" w:rsidRDefault="0099755C" w:rsidP="0099755C">
      <w:pPr>
        <w:spacing w:beforeLines="50" w:line="324" w:lineRule="auto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9755C">
        <w:rPr>
          <w:rFonts w:ascii="宋体" w:eastAsia="宋体" w:hAnsi="宋体" w:cs="仿宋" w:hint="eastAsia"/>
          <w:color w:val="000000"/>
          <w:sz w:val="24"/>
          <w:szCs w:val="24"/>
        </w:rPr>
        <w:t>3. 助教津贴在每学期评价结束后发放，根据岗位的不同来源分别由学校和设岗学院（系）发放。</w:t>
      </w:r>
    </w:p>
    <w:p w:rsidR="0099755C" w:rsidRPr="0099755C" w:rsidRDefault="0099755C" w:rsidP="0099755C">
      <w:pPr>
        <w:adjustRightInd w:val="0"/>
        <w:snapToGrid w:val="0"/>
        <w:spacing w:beforeLines="20" w:line="324" w:lineRule="auto"/>
        <w:ind w:leftChars="50" w:left="105" w:rightChars="50" w:right="105" w:firstLineChars="200" w:firstLine="482"/>
        <w:rPr>
          <w:rFonts w:ascii="宋体" w:eastAsia="宋体" w:hAnsi="宋体" w:cs="仿宋"/>
          <w:b/>
          <w:color w:val="000000"/>
          <w:sz w:val="24"/>
          <w:szCs w:val="24"/>
        </w:rPr>
      </w:pPr>
      <w:r w:rsidRPr="0099755C">
        <w:rPr>
          <w:rFonts w:ascii="宋体" w:eastAsia="宋体" w:hAnsi="宋体" w:cs="仿宋" w:hint="eastAsia"/>
          <w:b/>
          <w:color w:val="000000"/>
          <w:sz w:val="24"/>
          <w:szCs w:val="24"/>
        </w:rPr>
        <w:t>六、其他</w:t>
      </w:r>
    </w:p>
    <w:p w:rsidR="0099755C" w:rsidRPr="0099755C" w:rsidRDefault="0099755C" w:rsidP="0099755C">
      <w:pPr>
        <w:adjustRightInd w:val="0"/>
        <w:snapToGrid w:val="0"/>
        <w:spacing w:beforeLines="20" w:line="324" w:lineRule="auto"/>
        <w:ind w:leftChars="50" w:left="105" w:rightChars="50" w:right="105" w:firstLineChars="200" w:firstLine="480"/>
        <w:rPr>
          <w:rFonts w:ascii="宋体" w:eastAsia="宋体" w:hAnsi="宋体" w:cs="仿宋"/>
          <w:color w:val="000000"/>
          <w:sz w:val="24"/>
          <w:szCs w:val="24"/>
        </w:rPr>
      </w:pPr>
      <w:r w:rsidRPr="0099755C">
        <w:rPr>
          <w:rFonts w:ascii="宋体" w:eastAsia="宋体" w:hAnsi="宋体" w:cs="仿宋" w:hint="eastAsia"/>
          <w:color w:val="000000"/>
          <w:sz w:val="24"/>
          <w:szCs w:val="24"/>
        </w:rPr>
        <w:t>本办法自发文起实施，由海洋学院教学管理部负责解释。</w:t>
      </w:r>
    </w:p>
    <w:p w:rsidR="0099755C" w:rsidRPr="0099755C" w:rsidRDefault="0099755C" w:rsidP="0099755C">
      <w:pPr>
        <w:spacing w:beforeLines="50" w:line="324" w:lineRule="auto"/>
        <w:ind w:leftChars="50" w:left="105" w:rightChars="50" w:right="105" w:firstLineChars="200" w:firstLine="480"/>
        <w:jc w:val="right"/>
        <w:rPr>
          <w:rFonts w:ascii="黑体" w:eastAsia="黑体" w:hAnsi="黑体" w:cs="黑体"/>
          <w:sz w:val="24"/>
        </w:rPr>
      </w:pPr>
      <w:r w:rsidRPr="0099755C">
        <w:rPr>
          <w:rFonts w:ascii="黑体" w:eastAsia="黑体" w:hAnsi="黑体" w:cs="黑体" w:hint="eastAsia"/>
          <w:sz w:val="24"/>
        </w:rPr>
        <w:t>海洋学院教学管理部</w:t>
      </w:r>
    </w:p>
    <w:p w:rsidR="0099755C" w:rsidRPr="0099755C" w:rsidRDefault="0099755C" w:rsidP="0099755C">
      <w:pPr>
        <w:spacing w:beforeLines="50" w:line="324" w:lineRule="auto"/>
        <w:ind w:leftChars="50" w:left="105" w:rightChars="50" w:right="105" w:firstLineChars="200" w:firstLine="480"/>
        <w:jc w:val="right"/>
        <w:rPr>
          <w:rFonts w:ascii="黑体" w:eastAsia="黑体" w:hAnsi="黑体" w:cs="黑体"/>
          <w:sz w:val="24"/>
        </w:rPr>
        <w:sectPr w:rsidR="0099755C" w:rsidRPr="0099755C">
          <w:pgSz w:w="11910" w:h="16840"/>
          <w:pgMar w:top="1418" w:right="1300" w:bottom="1418" w:left="980" w:header="720" w:footer="992" w:gutter="0"/>
          <w:cols w:space="720" w:equalWidth="0">
            <w:col w:w="9026"/>
          </w:cols>
          <w:docGrid w:linePitch="286"/>
        </w:sectPr>
      </w:pPr>
      <w:r w:rsidRPr="0099755C">
        <w:rPr>
          <w:rFonts w:ascii="黑体" w:eastAsia="黑体" w:hAnsi="黑体" w:cs="黑体" w:hint="eastAsia"/>
          <w:sz w:val="24"/>
        </w:rPr>
        <w:t>2</w:t>
      </w:r>
      <w:r w:rsidRPr="0099755C">
        <w:rPr>
          <w:rFonts w:ascii="黑体" w:eastAsia="黑体" w:hAnsi="黑体" w:cs="黑体"/>
          <w:sz w:val="24"/>
        </w:rPr>
        <w:t>018</w:t>
      </w:r>
      <w:r w:rsidRPr="0099755C">
        <w:rPr>
          <w:rFonts w:ascii="黑体" w:eastAsia="黑体" w:hAnsi="黑体" w:cs="黑体" w:hint="eastAsia"/>
          <w:sz w:val="24"/>
        </w:rPr>
        <w:t>年</w:t>
      </w:r>
      <w:r w:rsidRPr="0099755C">
        <w:rPr>
          <w:rFonts w:ascii="黑体" w:eastAsia="黑体" w:hAnsi="黑体" w:cs="黑体"/>
          <w:sz w:val="24"/>
        </w:rPr>
        <w:t>1</w:t>
      </w:r>
      <w:r w:rsidRPr="0099755C">
        <w:rPr>
          <w:rFonts w:ascii="黑体" w:eastAsia="黑体" w:hAnsi="黑体" w:cs="黑体" w:hint="eastAsia"/>
          <w:sz w:val="24"/>
        </w:rPr>
        <w:t>月</w:t>
      </w:r>
    </w:p>
    <w:p w:rsidR="00674616" w:rsidRPr="0099755C" w:rsidRDefault="0099755C" w:rsidP="0099755C">
      <w:pPr>
        <w:spacing w:before="156"/>
      </w:pPr>
      <w:r>
        <w:rPr>
          <w:rFonts w:hint="eastAsia"/>
        </w:rPr>
        <w:lastRenderedPageBreak/>
        <w:t>.</w:t>
      </w:r>
    </w:p>
    <w:sectPr w:rsidR="00674616" w:rsidRPr="0099755C" w:rsidSect="00674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55C"/>
    <w:rsid w:val="00674616"/>
    <w:rsid w:val="0099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1141</Characters>
  <Application>Microsoft Office Word</Application>
  <DocSecurity>0</DocSecurity>
  <Lines>9</Lines>
  <Paragraphs>2</Paragraphs>
  <ScaleCrop>false</ScaleCrop>
  <Company>Microsoft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张涛</dc:creator>
  <cp:lastModifiedBy>张涛</cp:lastModifiedBy>
  <cp:revision>1</cp:revision>
  <dcterms:created xsi:type="dcterms:W3CDTF">2020-10-30T07:05:00Z</dcterms:created>
  <dcterms:modified xsi:type="dcterms:W3CDTF">2020-10-30T07:06:00Z</dcterms:modified>
</cp:coreProperties>
</file>