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kern w:val="0"/>
        </w:rPr>
      </w:pPr>
      <w:bookmarkStart w:id="0" w:name="_Toc51745369"/>
      <w:bookmarkStart w:id="1" w:name="_Toc51748954"/>
      <w:bookmarkStart w:id="2" w:name="_Toc21802"/>
      <w:bookmarkStart w:id="3" w:name="_Toc488913094"/>
      <w:r>
        <w:rPr>
          <w:rFonts w:hint="default" w:ascii="微软雅黑" w:hAnsi="微软雅黑" w:eastAsia="微软雅黑" w:cs="微软雅黑"/>
          <w:kern w:val="0"/>
          <w:lang w:val="en-US" w:eastAsia="zh-CN"/>
        </w:rPr>
        <w:t>“</w:t>
      </w:r>
      <w:r>
        <w:rPr>
          <w:rFonts w:hint="eastAsia" w:ascii="微软雅黑" w:hAnsi="微软雅黑" w:eastAsia="微软雅黑" w:cs="微软雅黑"/>
          <w:kern w:val="0"/>
        </w:rPr>
        <w:t>海水分析化学</w:t>
      </w:r>
      <w:r>
        <w:rPr>
          <w:rFonts w:hint="default" w:ascii="微软雅黑" w:hAnsi="微软雅黑" w:eastAsia="微软雅黑" w:cs="微软雅黑"/>
          <w:kern w:val="0"/>
          <w:lang w:val="en-US" w:eastAsia="zh-CN"/>
        </w:rPr>
        <w:t>”</w:t>
      </w:r>
      <w:r>
        <w:rPr>
          <w:rFonts w:hint="eastAsia" w:ascii="微软雅黑" w:hAnsi="微软雅黑" w:eastAsia="微软雅黑" w:cs="微软雅黑"/>
          <w:kern w:val="0"/>
        </w:rPr>
        <w:t>课程教学大纲</w:t>
      </w:r>
      <w:bookmarkEnd w:id="0"/>
      <w:bookmarkEnd w:id="1"/>
      <w:bookmarkEnd w:id="2"/>
      <w:bookmarkEnd w:id="3"/>
    </w:p>
    <w:sdt>
      <w:sdtPr>
        <w:rPr>
          <w:lang w:val="zh-CN"/>
        </w:rPr>
        <w:id w:val="-1711488477"/>
        <w:docPartObj>
          <w:docPartGallery w:val="Table of Contents"/>
          <w:docPartUnique/>
        </w:docPartObj>
      </w:sdtPr>
      <w:sdtEndPr>
        <w:rPr>
          <w:b/>
          <w:bCs/>
          <w:lang w:val="zh-CN"/>
        </w:rPr>
      </w:sdtEndPr>
      <w:sdtContent>
        <w:p>
          <w:pPr>
            <w:pStyle w:val="11"/>
            <w:tabs>
              <w:tab w:val="left" w:pos="851"/>
              <w:tab w:val="right" w:leader="dot" w:pos="8296"/>
            </w:tabs>
            <w:spacing w:before="93" w:beforeLines="30" w:after="93" w:afterLines="30" w:line="300" w:lineRule="auto"/>
            <w:ind w:left="315" w:leftChars="150"/>
            <w:rPr>
              <w:rFonts w:ascii="Times New Roman" w:hAnsi="Times New Roman" w:eastAsia="宋体" w:cs="Times New Roman"/>
              <w:color w:val="auto"/>
              <w:kern w:val="2"/>
              <w:sz w:val="21"/>
              <w:szCs w:val="22"/>
              <w:u w:val="single"/>
              <w:lang w:val="en-US" w:eastAsia="zh-CN" w:bidi="ar-SA"/>
            </w:rPr>
          </w:pPr>
          <w:r>
            <w:rPr>
              <w:rStyle w:val="16"/>
              <w:rFonts w:ascii="Times New Roman" w:hAnsi="Times New Roman" w:eastAsia="宋体" w:cs="Times New Roman"/>
              <w:b/>
              <w:color w:val="auto"/>
            </w:rPr>
            <w:fldChar w:fldCharType="begin"/>
          </w:r>
          <w:r>
            <w:rPr>
              <w:rStyle w:val="16"/>
              <w:rFonts w:ascii="Times New Roman" w:hAnsi="Times New Roman" w:eastAsia="宋体" w:cs="Times New Roman"/>
              <w:b/>
              <w:color w:val="auto"/>
            </w:rPr>
            <w:instrText xml:space="preserve"> TOC \o "1-3" \h \z \u </w:instrText>
          </w:r>
          <w:r>
            <w:rPr>
              <w:rStyle w:val="16"/>
              <w:rFonts w:ascii="Times New Roman" w:hAnsi="Times New Roman" w:eastAsia="宋体" w:cs="Times New Roman"/>
              <w:b/>
              <w:color w:val="auto"/>
            </w:rPr>
            <w:fldChar w:fldCharType="separate"/>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_Toc22004 </w:instrText>
          </w:r>
          <w:r>
            <w:rPr>
              <w:rFonts w:ascii="Times New Roman" w:hAnsi="Times New Roman" w:eastAsia="宋体" w:cs="Times New Roman"/>
            </w:rPr>
            <w:fldChar w:fldCharType="separate"/>
          </w:r>
          <w:r>
            <w:rPr>
              <w:rFonts w:hint="default" w:ascii="Times New Roman" w:hAnsi="Times New Roman" w:eastAsia="宋体" w:cs="Times New Roman"/>
              <w:bCs w:val="0"/>
              <w:spacing w:val="15"/>
              <w:kern w:val="0"/>
              <w:szCs w:val="20"/>
            </w:rPr>
            <w:t xml:space="preserve">1. </w:t>
          </w:r>
          <w:r>
            <w:rPr>
              <w:rFonts w:hint="eastAsia" w:ascii="Times New Roman" w:hAnsi="Times New Roman" w:eastAsia="宋体" w:cs="Times New Roman"/>
              <w:bCs w:val="0"/>
              <w:spacing w:val="15"/>
              <w:kern w:val="0"/>
              <w:szCs w:val="20"/>
            </w:rPr>
            <w:t>课程介绍</w:t>
          </w:r>
          <w:r>
            <w:tab/>
          </w:r>
          <w:r>
            <w:fldChar w:fldCharType="begin"/>
          </w:r>
          <w:r>
            <w:instrText xml:space="preserve"> PAGEREF _Toc22004 </w:instrText>
          </w:r>
          <w:r>
            <w:fldChar w:fldCharType="separate"/>
          </w:r>
          <w:r>
            <w:t>2</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_Toc20387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1.1</w:t>
          </w:r>
          <w:r>
            <w:rPr>
              <w:rFonts w:hint="eastAsia" w:ascii="Times New Roman" w:hAnsi="Times New Roman" w:eastAsia="宋体" w:cs="Times New Roman"/>
              <w:kern w:val="0"/>
              <w:szCs w:val="21"/>
            </w:rPr>
            <w:t>中文简介</w:t>
          </w:r>
          <w:r>
            <w:tab/>
          </w:r>
          <w:r>
            <w:fldChar w:fldCharType="begin"/>
          </w:r>
          <w:r>
            <w:instrText xml:space="preserve"> PAGEREF _Toc20387 </w:instrText>
          </w:r>
          <w:r>
            <w:fldChar w:fldCharType="separate"/>
          </w:r>
          <w:r>
            <w:t>2</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_Toc19812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1.2</w:t>
          </w:r>
          <w:r>
            <w:rPr>
              <w:rFonts w:hint="eastAsia" w:ascii="Times New Roman" w:hAnsi="Times New Roman" w:eastAsia="宋体" w:cs="Times New Roman"/>
              <w:kern w:val="0"/>
              <w:szCs w:val="21"/>
            </w:rPr>
            <w:t>英文简介</w:t>
          </w:r>
          <w:r>
            <w:tab/>
          </w:r>
          <w:r>
            <w:fldChar w:fldCharType="begin"/>
          </w:r>
          <w:r>
            <w:instrText xml:space="preserve"> PAGEREF _Toc19812 </w:instrText>
          </w:r>
          <w:r>
            <w:fldChar w:fldCharType="separate"/>
          </w:r>
          <w:r>
            <w:t>2</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_Toc14052 </w:instrText>
          </w:r>
          <w:r>
            <w:rPr>
              <w:rFonts w:ascii="Times New Roman" w:hAnsi="Times New Roman" w:eastAsia="宋体" w:cs="Times New Roman"/>
            </w:rPr>
            <w:fldChar w:fldCharType="separate"/>
          </w:r>
          <w:r>
            <w:rPr>
              <w:rFonts w:hint="default" w:ascii="Times New Roman" w:hAnsi="Times New Roman" w:eastAsia="宋体" w:cs="Times New Roman"/>
              <w:bCs w:val="0"/>
              <w:caps/>
              <w:spacing w:val="15"/>
              <w:kern w:val="0"/>
              <w:szCs w:val="24"/>
            </w:rPr>
            <w:t xml:space="preserve">2. </w:t>
          </w:r>
          <w:r>
            <w:rPr>
              <w:rFonts w:hint="eastAsia" w:ascii="Times New Roman" w:hAnsi="Times New Roman" w:eastAsia="宋体" w:cs="Times New Roman"/>
              <w:bCs w:val="0"/>
              <w:caps/>
              <w:spacing w:val="15"/>
              <w:kern w:val="0"/>
              <w:szCs w:val="24"/>
            </w:rPr>
            <w:t>课程</w:t>
          </w:r>
          <w:r>
            <w:rPr>
              <w:rFonts w:ascii="Times New Roman" w:hAnsi="Times New Roman" w:eastAsia="宋体" w:cs="Times New Roman"/>
              <w:bCs w:val="0"/>
              <w:caps/>
              <w:spacing w:val="15"/>
              <w:kern w:val="0"/>
              <w:szCs w:val="24"/>
            </w:rPr>
            <w:t>目标</w:t>
          </w:r>
          <w:r>
            <w:rPr>
              <w:rFonts w:hint="eastAsia" w:ascii="Times New Roman" w:hAnsi="Times New Roman" w:eastAsia="宋体" w:cs="Times New Roman"/>
              <w:bCs w:val="0"/>
              <w:caps/>
              <w:spacing w:val="15"/>
              <w:kern w:val="0"/>
              <w:szCs w:val="24"/>
            </w:rPr>
            <w:t>与毕业要求指标点关系、可测量结果</w:t>
          </w:r>
          <w:r>
            <w:tab/>
          </w:r>
          <w:r>
            <w:fldChar w:fldCharType="begin"/>
          </w:r>
          <w:r>
            <w:instrText xml:space="preserve"> PAGEREF _Toc14052 </w:instrText>
          </w:r>
          <w:r>
            <w:fldChar w:fldCharType="separate"/>
          </w:r>
          <w:r>
            <w:t>3</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_Toc10378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2.1</w:t>
          </w:r>
          <w:r>
            <w:rPr>
              <w:rFonts w:hint="eastAsia" w:ascii="Times New Roman" w:hAnsi="Times New Roman" w:eastAsia="宋体" w:cs="Times New Roman"/>
              <w:kern w:val="0"/>
              <w:szCs w:val="21"/>
            </w:rPr>
            <w:t>课程目标</w:t>
          </w:r>
          <w:r>
            <w:tab/>
          </w:r>
          <w:r>
            <w:fldChar w:fldCharType="begin"/>
          </w:r>
          <w:r>
            <w:instrText xml:space="preserve"> PAGEREF _Toc10378 </w:instrText>
          </w:r>
          <w:r>
            <w:fldChar w:fldCharType="separate"/>
          </w:r>
          <w:r>
            <w:t>3</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_Toc1491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2.2课程目标与毕业要求指标点关系</w:t>
          </w:r>
          <w:r>
            <w:tab/>
          </w:r>
          <w:r>
            <w:fldChar w:fldCharType="begin"/>
          </w:r>
          <w:r>
            <w:instrText xml:space="preserve"> PAGEREF _Toc1491 </w:instrText>
          </w:r>
          <w:r>
            <w:fldChar w:fldCharType="separate"/>
          </w:r>
          <w:r>
            <w:t>3</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_Toc24890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2.3可测量结果</w:t>
          </w:r>
          <w:r>
            <w:tab/>
          </w:r>
          <w:r>
            <w:fldChar w:fldCharType="begin"/>
          </w:r>
          <w:r>
            <w:instrText xml:space="preserve"> PAGEREF _Toc24890 </w:instrText>
          </w:r>
          <w:r>
            <w:fldChar w:fldCharType="separate"/>
          </w:r>
          <w:r>
            <w:t>4</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_Toc5998 </w:instrText>
          </w:r>
          <w:r>
            <w:rPr>
              <w:rFonts w:ascii="Times New Roman" w:hAnsi="Times New Roman" w:eastAsia="宋体" w:cs="Times New Roman"/>
            </w:rPr>
            <w:fldChar w:fldCharType="separate"/>
          </w:r>
          <w:r>
            <w:rPr>
              <w:rFonts w:hint="default" w:ascii="Times New Roman" w:hAnsi="Times New Roman" w:eastAsia="宋体" w:cs="Times New Roman"/>
              <w:bCs w:val="0"/>
              <w:spacing w:val="15"/>
              <w:kern w:val="0"/>
              <w:szCs w:val="24"/>
            </w:rPr>
            <w:t xml:space="preserve">3. </w:t>
          </w:r>
          <w:r>
            <w:rPr>
              <w:rFonts w:hint="eastAsia" w:ascii="Times New Roman" w:hAnsi="Times New Roman" w:eastAsia="宋体" w:cs="Times New Roman"/>
              <w:bCs w:val="0"/>
              <w:spacing w:val="15"/>
              <w:kern w:val="0"/>
              <w:szCs w:val="24"/>
            </w:rPr>
            <w:t>课程要求与学生过程管理方式</w:t>
          </w:r>
          <w:r>
            <w:tab/>
          </w:r>
          <w:r>
            <w:fldChar w:fldCharType="begin"/>
          </w:r>
          <w:r>
            <w:instrText xml:space="preserve"> PAGEREF _Toc5998 </w:instrText>
          </w:r>
          <w:r>
            <w:fldChar w:fldCharType="separate"/>
          </w:r>
          <w:r>
            <w:t>4</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_Toc29962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3.1授课方式与要求</w:t>
          </w:r>
          <w:r>
            <w:tab/>
          </w:r>
          <w:r>
            <w:fldChar w:fldCharType="begin"/>
          </w:r>
          <w:r>
            <w:instrText xml:space="preserve"> PAGEREF _Toc29962 </w:instrText>
          </w:r>
          <w:r>
            <w:fldChar w:fldCharType="separate"/>
          </w:r>
          <w:r>
            <w:t>4</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_Toc3900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3.2学生过程管理方式</w:t>
          </w:r>
          <w:r>
            <w:tab/>
          </w:r>
          <w:r>
            <w:fldChar w:fldCharType="begin"/>
          </w:r>
          <w:r>
            <w:instrText xml:space="preserve"> PAGEREF _Toc3900 </w:instrText>
          </w:r>
          <w:r>
            <w:fldChar w:fldCharType="separate"/>
          </w:r>
          <w:r>
            <w:t>4</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_Toc19593 </w:instrText>
          </w:r>
          <w:r>
            <w:rPr>
              <w:rFonts w:ascii="Times New Roman" w:hAnsi="Times New Roman" w:eastAsia="宋体" w:cs="Times New Roman"/>
            </w:rPr>
            <w:fldChar w:fldCharType="separate"/>
          </w:r>
          <w:r>
            <w:rPr>
              <w:rFonts w:hint="default" w:ascii="Times New Roman" w:hAnsi="Times New Roman" w:eastAsia="宋体" w:cs="Times New Roman"/>
              <w:bCs w:val="0"/>
              <w:spacing w:val="15"/>
              <w:kern w:val="0"/>
              <w:szCs w:val="24"/>
            </w:rPr>
            <w:t xml:space="preserve">4. </w:t>
          </w:r>
          <w:r>
            <w:rPr>
              <w:rFonts w:hint="eastAsia" w:ascii="Times New Roman" w:hAnsi="Times New Roman" w:eastAsia="宋体" w:cs="Times New Roman"/>
              <w:bCs w:val="0"/>
              <w:spacing w:val="15"/>
              <w:kern w:val="0"/>
              <w:szCs w:val="24"/>
            </w:rPr>
            <w:t>考核方式与成绩构成</w:t>
          </w:r>
          <w:r>
            <w:tab/>
          </w:r>
          <w:r>
            <w:fldChar w:fldCharType="begin"/>
          </w:r>
          <w:r>
            <w:instrText xml:space="preserve"> PAGEREF _Toc19593 </w:instrText>
          </w:r>
          <w:r>
            <w:fldChar w:fldCharType="separate"/>
          </w:r>
          <w:r>
            <w:t>5</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_Toc16937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4.1考核方式</w:t>
          </w:r>
          <w:r>
            <w:tab/>
          </w:r>
          <w:r>
            <w:fldChar w:fldCharType="begin"/>
          </w:r>
          <w:r>
            <w:instrText xml:space="preserve"> PAGEREF _Toc16937 </w:instrText>
          </w:r>
          <w:r>
            <w:fldChar w:fldCharType="separate"/>
          </w:r>
          <w:r>
            <w:t>5</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_Toc9505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4.2成绩构成</w:t>
          </w:r>
          <w:r>
            <w:tab/>
          </w:r>
          <w:r>
            <w:fldChar w:fldCharType="begin"/>
          </w:r>
          <w:r>
            <w:instrText xml:space="preserve"> PAGEREF _Toc9505 </w:instrText>
          </w:r>
          <w:r>
            <w:fldChar w:fldCharType="separate"/>
          </w:r>
          <w:r>
            <w:t>5</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_Toc2914 </w:instrText>
          </w:r>
          <w:r>
            <w:rPr>
              <w:rFonts w:ascii="Times New Roman" w:hAnsi="Times New Roman" w:eastAsia="宋体" w:cs="Times New Roman"/>
            </w:rPr>
            <w:fldChar w:fldCharType="separate"/>
          </w:r>
          <w:r>
            <w:rPr>
              <w:rFonts w:hint="default" w:ascii="Times New Roman" w:hAnsi="Times New Roman" w:eastAsia="宋体" w:cs="Times New Roman"/>
              <w:bCs w:val="0"/>
              <w:caps/>
              <w:spacing w:val="15"/>
              <w:kern w:val="0"/>
              <w:szCs w:val="24"/>
            </w:rPr>
            <w:t xml:space="preserve">5. </w:t>
          </w:r>
          <w:r>
            <w:rPr>
              <w:rFonts w:hint="eastAsia" w:ascii="Times New Roman" w:hAnsi="Times New Roman" w:eastAsia="宋体" w:cs="Times New Roman"/>
              <w:bCs w:val="0"/>
              <w:caps/>
              <w:spacing w:val="15"/>
              <w:kern w:val="0"/>
              <w:szCs w:val="24"/>
            </w:rPr>
            <w:t>教学内容与学时安排</w:t>
          </w:r>
          <w:r>
            <w:tab/>
          </w:r>
          <w:r>
            <w:fldChar w:fldCharType="begin"/>
          </w:r>
          <w:r>
            <w:instrText xml:space="preserve"> PAGEREF _Toc2914 </w:instrText>
          </w:r>
          <w:r>
            <w:fldChar w:fldCharType="separate"/>
          </w:r>
          <w:r>
            <w:t>5</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_Toc23311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5.1理论教学内容与安排</w:t>
          </w:r>
          <w:r>
            <w:tab/>
          </w:r>
          <w:r>
            <w:fldChar w:fldCharType="begin"/>
          </w:r>
          <w:r>
            <w:instrText xml:space="preserve"> PAGEREF _Toc23311 </w:instrText>
          </w:r>
          <w:r>
            <w:fldChar w:fldCharType="separate"/>
          </w:r>
          <w:r>
            <w:t>5</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_Toc5356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5.2实验内容与安排</w:t>
          </w:r>
          <w:r>
            <w:tab/>
          </w:r>
          <w:r>
            <w:fldChar w:fldCharType="begin"/>
          </w:r>
          <w:r>
            <w:instrText xml:space="preserve"> PAGEREF _Toc5356 </w:instrText>
          </w:r>
          <w:r>
            <w:fldChar w:fldCharType="separate"/>
          </w:r>
          <w:r>
            <w:t>12</w:t>
          </w:r>
          <w:r>
            <w:fldChar w:fldCharType="end"/>
          </w:r>
          <w:r>
            <w:rPr>
              <w:rFonts w:ascii="Times New Roman" w:hAnsi="Times New Roman" w:eastAsia="宋体" w:cs="Times New Roman"/>
              <w:color w:val="auto"/>
            </w:rPr>
            <w:fldChar w:fldCharType="end"/>
          </w:r>
        </w:p>
        <w:p>
          <w:pPr>
            <w:pStyle w:val="6"/>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_Toc7190 </w:instrText>
          </w:r>
          <w:r>
            <w:rPr>
              <w:rFonts w:ascii="Times New Roman" w:hAnsi="Times New Roman" w:eastAsia="宋体" w:cs="Times New Roman"/>
            </w:rPr>
            <w:fldChar w:fldCharType="separate"/>
          </w:r>
          <w:r>
            <w:rPr>
              <w:rFonts w:hint="eastAsia" w:ascii="Times New Roman" w:hAnsi="Times New Roman" w:eastAsia="宋体" w:cs="Times New Roman"/>
              <w:kern w:val="0"/>
              <w:szCs w:val="21"/>
              <w:lang w:val="en-US" w:eastAsia="zh-CN"/>
            </w:rPr>
            <w:t>5.3课程目标与教学内容对应关系</w:t>
          </w:r>
          <w:r>
            <w:tab/>
          </w:r>
          <w:r>
            <w:fldChar w:fldCharType="begin"/>
          </w:r>
          <w:r>
            <w:instrText xml:space="preserve"> PAGEREF _Toc7190 </w:instrText>
          </w:r>
          <w:r>
            <w:fldChar w:fldCharType="separate"/>
          </w:r>
          <w:r>
            <w:t>13</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_Toc6663 </w:instrText>
          </w:r>
          <w:r>
            <w:rPr>
              <w:rFonts w:ascii="Times New Roman" w:hAnsi="Times New Roman" w:eastAsia="宋体" w:cs="Times New Roman"/>
            </w:rPr>
            <w:fldChar w:fldCharType="separate"/>
          </w:r>
          <w:r>
            <w:rPr>
              <w:rFonts w:hint="default" w:ascii="Times New Roman" w:hAnsi="Times New Roman" w:eastAsia="宋体" w:cs="Times New Roman"/>
              <w:bCs w:val="0"/>
              <w:spacing w:val="15"/>
              <w:kern w:val="0"/>
              <w:szCs w:val="24"/>
            </w:rPr>
            <w:t xml:space="preserve">6. </w:t>
          </w:r>
          <w:r>
            <w:rPr>
              <w:rFonts w:hint="eastAsia" w:ascii="Times New Roman" w:hAnsi="Times New Roman" w:eastAsia="宋体" w:cs="Times New Roman"/>
              <w:bCs w:val="0"/>
              <w:spacing w:val="15"/>
              <w:kern w:val="0"/>
              <w:szCs w:val="24"/>
            </w:rPr>
            <w:t>参考教材及相关资料</w:t>
          </w:r>
          <w:r>
            <w:tab/>
          </w:r>
          <w:r>
            <w:fldChar w:fldCharType="begin"/>
          </w:r>
          <w:r>
            <w:instrText xml:space="preserve"> PAGEREF _Toc6663 </w:instrText>
          </w:r>
          <w:r>
            <w:fldChar w:fldCharType="separate"/>
          </w:r>
          <w:r>
            <w:t>17</w:t>
          </w:r>
          <w:r>
            <w:fldChar w:fldCharType="end"/>
          </w:r>
          <w:r>
            <w:rPr>
              <w:rFonts w:ascii="Times New Roman" w:hAnsi="Times New Roman" w:eastAsia="宋体" w:cs="Times New Roman"/>
              <w:color w:val="auto"/>
            </w:rPr>
            <w:fldChar w:fldCharType="end"/>
          </w:r>
        </w:p>
        <w:p>
          <w:pPr>
            <w:pStyle w:val="11"/>
            <w:tabs>
              <w:tab w:val="right" w:leader="dot" w:pos="8306"/>
            </w:tabs>
            <w:spacing w:line="360" w:lineRule="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_Toc4314 </w:instrText>
          </w:r>
          <w:r>
            <w:rPr>
              <w:rFonts w:ascii="Times New Roman" w:hAnsi="Times New Roman" w:eastAsia="宋体" w:cs="Times New Roman"/>
            </w:rPr>
            <w:fldChar w:fldCharType="separate"/>
          </w:r>
          <w:r>
            <w:rPr>
              <w:rFonts w:hint="default" w:ascii="Times New Roman" w:hAnsi="Times New Roman" w:eastAsia="宋体" w:cs="Times New Roman"/>
              <w:bCs w:val="0"/>
              <w:spacing w:val="15"/>
              <w:kern w:val="0"/>
              <w:szCs w:val="24"/>
            </w:rPr>
            <w:t xml:space="preserve">7. </w:t>
          </w:r>
          <w:r>
            <w:rPr>
              <w:rFonts w:hint="eastAsia" w:ascii="Times New Roman" w:hAnsi="Times New Roman" w:eastAsia="宋体" w:cs="Times New Roman"/>
              <w:bCs w:val="0"/>
              <w:spacing w:val="15"/>
              <w:kern w:val="0"/>
              <w:szCs w:val="24"/>
            </w:rPr>
            <w:t>课程教学网站</w:t>
          </w:r>
          <w:r>
            <w:tab/>
          </w:r>
          <w:r>
            <w:fldChar w:fldCharType="begin"/>
          </w:r>
          <w:r>
            <w:instrText xml:space="preserve"> PAGEREF _Toc4314 </w:instrText>
          </w:r>
          <w:r>
            <w:fldChar w:fldCharType="separate"/>
          </w:r>
          <w:r>
            <w:t>17</w:t>
          </w:r>
          <w:r>
            <w:fldChar w:fldCharType="end"/>
          </w:r>
          <w:r>
            <w:rPr>
              <w:rFonts w:ascii="Times New Roman" w:hAnsi="Times New Roman" w:eastAsia="宋体" w:cs="Times New Roman"/>
              <w:color w:val="auto"/>
            </w:rPr>
            <w:fldChar w:fldCharType="end"/>
          </w:r>
        </w:p>
        <w:p>
          <w:pPr>
            <w:pStyle w:val="11"/>
            <w:tabs>
              <w:tab w:val="left" w:pos="851"/>
              <w:tab w:val="right" w:leader="dot" w:pos="8296"/>
            </w:tabs>
            <w:spacing w:before="93" w:beforeLines="30" w:after="93" w:afterLines="30" w:line="300" w:lineRule="auto"/>
            <w:ind w:left="315" w:leftChars="150"/>
          </w:pPr>
          <w:r>
            <w:rPr>
              <w:rStyle w:val="16"/>
              <w:rFonts w:ascii="Times New Roman" w:hAnsi="Times New Roman" w:eastAsia="宋体" w:cs="Times New Roman"/>
              <w:color w:val="auto"/>
            </w:rPr>
            <w:fldChar w:fldCharType="end"/>
          </w:r>
        </w:p>
      </w:sdtContent>
    </w:sdt>
    <w:p>
      <w:pPr>
        <w:widowControl/>
        <w:jc w:val="left"/>
      </w:pPr>
      <w:r>
        <w:br w:type="page"/>
      </w:r>
    </w:p>
    <w:p>
      <w:pPr>
        <w:pStyle w:val="13"/>
        <w:rPr>
          <w:kern w:val="0"/>
        </w:rPr>
      </w:pPr>
      <w:r>
        <w:rPr>
          <w:rFonts w:hint="default" w:ascii="微软雅黑" w:hAnsi="微软雅黑" w:eastAsia="微软雅黑" w:cs="微软雅黑"/>
          <w:kern w:val="0"/>
          <w:lang w:val="en-US" w:eastAsia="zh-CN"/>
        </w:rPr>
        <w:t>“</w:t>
      </w:r>
      <w:r>
        <w:rPr>
          <w:rFonts w:hint="eastAsia" w:ascii="微软雅黑" w:hAnsi="微软雅黑" w:eastAsia="微软雅黑" w:cs="微软雅黑"/>
          <w:kern w:val="0"/>
        </w:rPr>
        <w:t>海水分析化学</w:t>
      </w:r>
      <w:r>
        <w:rPr>
          <w:rFonts w:hint="default" w:ascii="微软雅黑" w:hAnsi="微软雅黑" w:eastAsia="微软雅黑" w:cs="微软雅黑"/>
          <w:kern w:val="0"/>
          <w:lang w:val="en-US" w:eastAsia="zh-CN"/>
        </w:rPr>
        <w:t>”</w:t>
      </w:r>
      <w:r>
        <w:rPr>
          <w:rFonts w:hint="eastAsia" w:ascii="微软雅黑" w:hAnsi="微软雅黑" w:eastAsia="微软雅黑" w:cs="微软雅黑"/>
          <w:kern w:val="0"/>
        </w:rPr>
        <w:t>课程教学大纲</w:t>
      </w:r>
    </w:p>
    <w:p>
      <w:pPr>
        <w:spacing w:line="360" w:lineRule="auto"/>
        <w:jc w:val="left"/>
        <w:rPr>
          <w:rFonts w:hint="eastAsia" w:ascii="宋体" w:hAnsi="宋体"/>
        </w:rPr>
      </w:pPr>
      <w:bookmarkStart w:id="30" w:name="_GoBack"/>
      <w:bookmarkEnd w:id="30"/>
    </w:p>
    <w:p>
      <w:pPr>
        <w:spacing w:line="360" w:lineRule="auto"/>
        <w:jc w:val="left"/>
        <w:rPr>
          <w:rFonts w:ascii="宋体" w:hAnsi="宋体"/>
        </w:rPr>
      </w:pPr>
      <w:r>
        <w:rPr>
          <w:rFonts w:hint="eastAsia" w:ascii="宋体" w:hAnsi="宋体"/>
        </w:rPr>
        <w:t>课程代码：</w:t>
      </w:r>
      <w:r>
        <w:rPr>
          <w:rFonts w:ascii="宋体" w:hAnsi="宋体"/>
        </w:rPr>
        <w:t xml:space="preserve">74190180                     </w:t>
      </w:r>
      <w:r>
        <w:rPr>
          <w:rFonts w:hint="eastAsia" w:ascii="宋体" w:hAnsi="宋体"/>
        </w:rPr>
        <w:t>课程中文名称：海水分析化学</w:t>
      </w:r>
    </w:p>
    <w:p>
      <w:pPr>
        <w:spacing w:line="360" w:lineRule="auto"/>
        <w:ind w:firstLine="3675" w:firstLineChars="1750"/>
        <w:jc w:val="left"/>
        <w:rPr>
          <w:rFonts w:ascii="宋体" w:hAnsi="宋体"/>
        </w:rPr>
      </w:pPr>
      <w:r>
        <w:rPr>
          <w:rFonts w:hint="eastAsia" w:ascii="宋体" w:hAnsi="宋体"/>
        </w:rPr>
        <w:t>课程</w:t>
      </w:r>
      <w:r>
        <w:rPr>
          <w:rFonts w:ascii="宋体" w:hAnsi="宋体"/>
        </w:rPr>
        <w:t>英文名称：</w:t>
      </w:r>
      <w:r>
        <w:rPr>
          <w:rFonts w:hint="eastAsia" w:ascii="宋体" w:hAnsi="宋体"/>
        </w:rPr>
        <w:t>Methods of seawater analysis</w:t>
      </w:r>
    </w:p>
    <w:p>
      <w:pPr>
        <w:spacing w:line="360" w:lineRule="auto"/>
        <w:jc w:val="left"/>
        <w:rPr>
          <w:rFonts w:ascii="宋体" w:hAnsi="宋体"/>
        </w:rPr>
      </w:pPr>
      <w:r>
        <w:rPr>
          <w:rFonts w:hint="eastAsia" w:ascii="宋体" w:hAnsi="宋体"/>
        </w:rPr>
        <w:t xml:space="preserve">开课学期 秋冬 </w:t>
      </w:r>
      <w:r>
        <w:rPr>
          <w:rFonts w:ascii="宋体" w:hAnsi="宋体"/>
        </w:rPr>
        <w:t xml:space="preserve">                </w:t>
      </w:r>
      <w:r>
        <w:rPr>
          <w:rFonts w:hint="eastAsia" w:ascii="宋体" w:hAnsi="宋体"/>
        </w:rPr>
        <w:t>面向对象：海洋工程与技术-应用海洋科学方向 三年级</w:t>
      </w:r>
    </w:p>
    <w:p>
      <w:pPr>
        <w:spacing w:line="360" w:lineRule="auto"/>
        <w:jc w:val="left"/>
        <w:rPr>
          <w:rFonts w:ascii="宋体" w:hAnsi="宋体"/>
        </w:rPr>
      </w:pPr>
      <w:r>
        <w:rPr>
          <w:rFonts w:hint="eastAsia" w:ascii="宋体" w:hAnsi="宋体"/>
        </w:rPr>
        <w:t>课程学分</w:t>
      </w:r>
      <w:r>
        <w:rPr>
          <w:rFonts w:ascii="宋体" w:hAnsi="宋体"/>
        </w:rPr>
        <w:tab/>
      </w:r>
      <w:r>
        <w:rPr>
          <w:rFonts w:ascii="宋体" w:hAnsi="宋体"/>
        </w:rPr>
        <w:t>3.0（2.5-2.0）</w:t>
      </w:r>
      <w:r>
        <w:rPr>
          <w:rFonts w:hint="eastAsia" w:ascii="宋体" w:hAnsi="宋体"/>
        </w:rPr>
        <w:t>学时安排</w:t>
      </w:r>
      <w:r>
        <w:rPr>
          <w:rFonts w:ascii="宋体" w:hAnsi="宋体"/>
        </w:rPr>
        <w:tab/>
      </w:r>
      <w:r>
        <w:rPr>
          <w:rFonts w:ascii="宋体" w:hAnsi="宋体"/>
        </w:rPr>
        <w:t>理论学时：40学时；每周一次、平均2.5学时</w:t>
      </w:r>
    </w:p>
    <w:p>
      <w:pPr>
        <w:spacing w:line="360" w:lineRule="auto"/>
        <w:ind w:firstLine="3780" w:firstLineChars="1800"/>
        <w:jc w:val="left"/>
        <w:rPr>
          <w:rFonts w:ascii="宋体" w:hAnsi="宋体"/>
        </w:rPr>
      </w:pPr>
      <w:r>
        <w:rPr>
          <w:rFonts w:hint="eastAsia" w:ascii="宋体" w:hAnsi="宋体"/>
        </w:rPr>
        <w:t>实验学时：共</w:t>
      </w:r>
      <w:r>
        <w:rPr>
          <w:rFonts w:ascii="宋体" w:hAnsi="宋体"/>
        </w:rPr>
        <w:t>32学时</w:t>
      </w:r>
      <w:r>
        <w:rPr>
          <w:rFonts w:hint="eastAsia" w:ascii="宋体" w:hAnsi="宋体"/>
        </w:rPr>
        <w:t>；每两周一次，每次4学时</w:t>
      </w:r>
    </w:p>
    <w:p>
      <w:pPr>
        <w:spacing w:line="360" w:lineRule="auto"/>
        <w:jc w:val="left"/>
        <w:rPr>
          <w:rFonts w:ascii="宋体" w:hAnsi="宋体"/>
        </w:rPr>
      </w:pPr>
      <w:r>
        <w:rPr>
          <w:rFonts w:hint="eastAsia" w:ascii="宋体" w:hAnsi="宋体"/>
        </w:rPr>
        <w:t>预修要求：无机及分析化学，大学化学实验</w:t>
      </w:r>
    </w:p>
    <w:tbl>
      <w:tblPr>
        <w:tblStyle w:val="14"/>
        <w:tblW w:w="0" w:type="auto"/>
        <w:jc w:val="center"/>
        <w:tblLayout w:type="fixed"/>
        <w:tblCellMar>
          <w:top w:w="0" w:type="dxa"/>
          <w:left w:w="108" w:type="dxa"/>
          <w:bottom w:w="0" w:type="dxa"/>
          <w:right w:w="108" w:type="dxa"/>
        </w:tblCellMar>
      </w:tblPr>
      <w:tblGrid>
        <w:gridCol w:w="1925"/>
        <w:gridCol w:w="2565"/>
        <w:gridCol w:w="1815"/>
        <w:gridCol w:w="2217"/>
      </w:tblGrid>
      <w:tr>
        <w:tblPrEx>
          <w:tblCellMar>
            <w:top w:w="0" w:type="dxa"/>
            <w:left w:w="108" w:type="dxa"/>
            <w:bottom w:w="0" w:type="dxa"/>
            <w:right w:w="108" w:type="dxa"/>
          </w:tblCellMar>
        </w:tblPrEx>
        <w:trPr>
          <w:jc w:val="center"/>
        </w:trPr>
        <w:tc>
          <w:tcPr>
            <w:tcW w:w="1925" w:type="dxa"/>
            <w:vAlign w:val="center"/>
          </w:tcPr>
          <w:p>
            <w:pPr>
              <w:adjustRightInd w:val="0"/>
              <w:snapToGrid w:val="0"/>
              <w:spacing w:line="288" w:lineRule="auto"/>
              <w:jc w:val="center"/>
              <w:rPr>
                <w:rFonts w:cs="宋体"/>
                <w:bCs/>
                <w:color w:val="000000"/>
                <w:szCs w:val="21"/>
              </w:rPr>
            </w:pPr>
            <w:r>
              <w:rPr>
                <w:rFonts w:hint="eastAsia" w:cs="宋体"/>
                <w:bCs/>
                <w:color w:val="000000"/>
                <w:szCs w:val="21"/>
              </w:rPr>
              <w:t>大纲制订人</w:t>
            </w:r>
          </w:p>
        </w:tc>
        <w:tc>
          <w:tcPr>
            <w:tcW w:w="256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潘依雯</w:t>
            </w:r>
          </w:p>
        </w:tc>
        <w:tc>
          <w:tcPr>
            <w:tcW w:w="181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实验教师</w:t>
            </w:r>
          </w:p>
        </w:tc>
        <w:tc>
          <w:tcPr>
            <w:tcW w:w="2217"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潘依雯、金诗迪</w:t>
            </w:r>
          </w:p>
        </w:tc>
      </w:tr>
      <w:tr>
        <w:tblPrEx>
          <w:tblCellMar>
            <w:top w:w="0" w:type="dxa"/>
            <w:left w:w="108" w:type="dxa"/>
            <w:bottom w:w="0" w:type="dxa"/>
            <w:right w:w="108" w:type="dxa"/>
          </w:tblCellMar>
        </w:tblPrEx>
        <w:trPr>
          <w:jc w:val="center"/>
        </w:trPr>
        <w:tc>
          <w:tcPr>
            <w:tcW w:w="192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全部任课教师</w:t>
            </w:r>
          </w:p>
        </w:tc>
        <w:tc>
          <w:tcPr>
            <w:tcW w:w="256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潘依雯</w:t>
            </w:r>
          </w:p>
        </w:tc>
        <w:tc>
          <w:tcPr>
            <w:tcW w:w="1815" w:type="dxa"/>
            <w:vAlign w:val="center"/>
          </w:tcPr>
          <w:p>
            <w:pPr>
              <w:adjustRightInd w:val="0"/>
              <w:snapToGrid w:val="0"/>
              <w:spacing w:line="288" w:lineRule="auto"/>
              <w:jc w:val="center"/>
              <w:rPr>
                <w:rFonts w:cs="宋体"/>
                <w:bCs/>
                <w:color w:val="000000"/>
                <w:szCs w:val="21"/>
              </w:rPr>
            </w:pPr>
            <w:r>
              <w:rPr>
                <w:rFonts w:hint="eastAsia" w:cs="宋体"/>
                <w:bCs/>
                <w:color w:val="000000"/>
                <w:szCs w:val="21"/>
              </w:rPr>
              <w:t>审核人</w:t>
            </w:r>
          </w:p>
          <w:p>
            <w:pPr>
              <w:adjustRightInd w:val="0"/>
              <w:snapToGrid w:val="0"/>
              <w:spacing w:line="288" w:lineRule="auto"/>
              <w:jc w:val="center"/>
              <w:rPr>
                <w:rFonts w:cs="宋体"/>
                <w:bCs/>
                <w:color w:val="000000"/>
                <w:szCs w:val="21"/>
              </w:rPr>
            </w:pPr>
            <w:r>
              <w:rPr>
                <w:rFonts w:hint="eastAsia" w:cs="宋体"/>
                <w:bCs/>
                <w:color w:val="000000"/>
                <w:szCs w:val="21"/>
              </w:rPr>
              <w:t>（课程组组长）</w:t>
            </w:r>
          </w:p>
        </w:tc>
        <w:tc>
          <w:tcPr>
            <w:tcW w:w="2217"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潘依雯</w:t>
            </w:r>
          </w:p>
        </w:tc>
      </w:tr>
      <w:tr>
        <w:tblPrEx>
          <w:tblCellMar>
            <w:top w:w="0" w:type="dxa"/>
            <w:left w:w="108" w:type="dxa"/>
            <w:bottom w:w="0" w:type="dxa"/>
            <w:right w:w="108" w:type="dxa"/>
          </w:tblCellMar>
        </w:tblPrEx>
        <w:trPr>
          <w:jc w:val="center"/>
        </w:trPr>
        <w:tc>
          <w:tcPr>
            <w:tcW w:w="192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修订时间</w:t>
            </w:r>
          </w:p>
        </w:tc>
        <w:tc>
          <w:tcPr>
            <w:tcW w:w="2565" w:type="dxa"/>
            <w:vAlign w:val="center"/>
          </w:tcPr>
          <w:p>
            <w:pPr>
              <w:adjustRightInd w:val="0"/>
              <w:snapToGrid w:val="0"/>
              <w:spacing w:line="360" w:lineRule="auto"/>
              <w:jc w:val="center"/>
              <w:rPr>
                <w:rFonts w:cs="宋体"/>
                <w:bCs/>
                <w:color w:val="000000"/>
                <w:szCs w:val="21"/>
              </w:rPr>
            </w:pPr>
            <w:r>
              <w:rPr>
                <w:rFonts w:hint="eastAsia" w:cs="宋体"/>
                <w:bCs/>
                <w:color w:val="000000"/>
                <w:szCs w:val="21"/>
              </w:rPr>
              <w:t>2</w:t>
            </w:r>
            <w:r>
              <w:rPr>
                <w:rFonts w:cs="宋体"/>
                <w:bCs/>
                <w:color w:val="000000"/>
                <w:szCs w:val="21"/>
              </w:rPr>
              <w:t>020-09</w:t>
            </w:r>
          </w:p>
        </w:tc>
        <w:tc>
          <w:tcPr>
            <w:tcW w:w="1815" w:type="dxa"/>
            <w:vAlign w:val="center"/>
          </w:tcPr>
          <w:p>
            <w:pPr>
              <w:adjustRightInd w:val="0"/>
              <w:snapToGrid w:val="0"/>
              <w:spacing w:line="360" w:lineRule="auto"/>
              <w:jc w:val="center"/>
              <w:rPr>
                <w:rFonts w:cs="宋体"/>
                <w:bCs/>
                <w:color w:val="000000"/>
                <w:szCs w:val="21"/>
              </w:rPr>
            </w:pPr>
          </w:p>
        </w:tc>
        <w:tc>
          <w:tcPr>
            <w:tcW w:w="2217" w:type="dxa"/>
            <w:vAlign w:val="center"/>
          </w:tcPr>
          <w:p>
            <w:pPr>
              <w:adjustRightInd w:val="0"/>
              <w:snapToGrid w:val="0"/>
              <w:spacing w:line="360" w:lineRule="auto"/>
              <w:jc w:val="center"/>
              <w:rPr>
                <w:rFonts w:cs="宋体"/>
                <w:bCs/>
                <w:color w:val="000000"/>
                <w:szCs w:val="21"/>
              </w:rPr>
            </w:pPr>
          </w:p>
        </w:tc>
      </w:tr>
    </w:tbl>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4" w:name="_课程介绍"/>
      <w:bookmarkEnd w:id="4"/>
      <w:bookmarkStart w:id="5" w:name="_Toc22004"/>
      <w:r>
        <w:rPr>
          <w:rFonts w:hint="eastAsia"/>
          <w:b/>
          <w:bCs w:val="0"/>
          <w:sz w:val="24"/>
          <w:szCs w:val="24"/>
        </w:rPr>
        <w:t>课程介绍</w:t>
      </w:r>
      <w:bookmarkEnd w:id="5"/>
    </w:p>
    <w:p>
      <w:pPr>
        <w:pStyle w:val="4"/>
        <w:numPr>
          <w:ilvl w:val="0"/>
          <w:numId w:val="0"/>
        </w:numPr>
        <w:spacing w:before="120" w:after="0" w:line="300" w:lineRule="auto"/>
        <w:ind w:left="284" w:leftChars="0" w:right="248" w:rightChars="118"/>
        <w:rPr>
          <w:rFonts w:ascii="Times New Roman" w:hAnsi="Times New Roman" w:eastAsia="宋体" w:cs="Times New Roman"/>
          <w:kern w:val="0"/>
          <w:sz w:val="21"/>
          <w:szCs w:val="21"/>
        </w:rPr>
      </w:pPr>
      <w:bookmarkStart w:id="6" w:name="_中文简介"/>
      <w:bookmarkEnd w:id="6"/>
      <w:bookmarkStart w:id="7" w:name="_Toc20387"/>
      <w:r>
        <w:rPr>
          <w:rFonts w:hint="eastAsia" w:ascii="Times New Roman" w:hAnsi="Times New Roman" w:eastAsia="宋体" w:cs="Times New Roman"/>
          <w:kern w:val="0"/>
          <w:sz w:val="21"/>
          <w:szCs w:val="21"/>
          <w:lang w:val="en-US" w:eastAsia="zh-CN"/>
        </w:rPr>
        <w:t>1.1</w:t>
      </w:r>
      <w:r>
        <w:rPr>
          <w:rFonts w:hint="eastAsia" w:ascii="Times New Roman" w:hAnsi="Times New Roman" w:eastAsia="宋体" w:cs="Times New Roman"/>
          <w:kern w:val="0"/>
          <w:sz w:val="21"/>
          <w:szCs w:val="21"/>
        </w:rPr>
        <w:t>中文简介</w:t>
      </w:r>
      <w:bookmarkEnd w:id="7"/>
    </w:p>
    <w:p>
      <w:pPr>
        <w:spacing w:line="360" w:lineRule="auto"/>
        <w:ind w:firstLine="420" w:firstLineChars="200"/>
        <w:jc w:val="left"/>
        <w:rPr>
          <w:rFonts w:ascii="宋体" w:hAnsi="宋体"/>
        </w:rPr>
      </w:pPr>
      <w:r>
        <w:rPr>
          <w:rFonts w:ascii="宋体" w:hAnsi="宋体"/>
        </w:rPr>
        <w:t>海水分析化学主要分为三部分：</w:t>
      </w:r>
      <w:r>
        <w:rPr>
          <w:rFonts w:hint="eastAsia" w:ascii="宋体" w:hAnsi="宋体"/>
        </w:rPr>
        <w:t>1</w:t>
      </w:r>
      <w:r>
        <w:rPr>
          <w:rFonts w:ascii="宋体" w:hAnsi="宋体"/>
        </w:rPr>
        <w:t>、海水分析化学的主要概念和相关内容范畴，介绍</w:t>
      </w:r>
      <w:r>
        <w:rPr>
          <w:rFonts w:hint="eastAsia" w:ascii="宋体" w:hAnsi="宋体"/>
        </w:rPr>
        <w:t>获得</w:t>
      </w:r>
      <w:r>
        <w:rPr>
          <w:rFonts w:ascii="宋体" w:hAnsi="宋体"/>
        </w:rPr>
        <w:t>海水中各种</w:t>
      </w:r>
      <w:r>
        <w:rPr>
          <w:rFonts w:hint="eastAsia" w:ascii="宋体" w:hAnsi="宋体"/>
        </w:rPr>
        <w:t>常规调查</w:t>
      </w:r>
      <w:r>
        <w:rPr>
          <w:rFonts w:ascii="宋体" w:hAnsi="宋体"/>
        </w:rPr>
        <w:t>组分的分析方法，包括海水采样、样品处理、待测组分的分离、富集和测定方法。</w:t>
      </w:r>
      <w:r>
        <w:rPr>
          <w:rFonts w:hint="eastAsia" w:ascii="宋体" w:hAnsi="宋体"/>
        </w:rPr>
        <w:t>2</w:t>
      </w:r>
      <w:r>
        <w:rPr>
          <w:rFonts w:ascii="宋体" w:hAnsi="宋体"/>
        </w:rPr>
        <w:t>、不同调查目的项目中海水化学分析的相关性和特异性，主要介绍与海洋化学、海洋环境化学和海洋污染有关调查项目中常规组分的分析原理、样品采集、处理、贮存和测试方法。</w:t>
      </w:r>
      <w:r>
        <w:rPr>
          <w:rFonts w:hint="eastAsia" w:ascii="宋体" w:hAnsi="宋体"/>
        </w:rPr>
        <w:t>3</w:t>
      </w:r>
      <w:r>
        <w:rPr>
          <w:rFonts w:ascii="宋体" w:hAnsi="宋体"/>
        </w:rPr>
        <w:t>、介绍该学科的发展前沿及其应用。</w:t>
      </w:r>
      <w:r>
        <w:rPr>
          <w:rFonts w:hint="eastAsia" w:ascii="宋体" w:hAnsi="宋体"/>
        </w:rPr>
        <w:t>通过课程的理论学习和实验训练，使得学生能掌握与</w:t>
      </w:r>
      <w:r>
        <w:rPr>
          <w:rFonts w:ascii="宋体" w:hAnsi="宋体"/>
        </w:rPr>
        <w:t>海洋化学、海洋环境化学和海洋污染有关调查项目</w:t>
      </w:r>
      <w:r>
        <w:rPr>
          <w:rFonts w:hint="eastAsia" w:ascii="宋体" w:hAnsi="宋体"/>
        </w:rPr>
        <w:t>相关的</w:t>
      </w:r>
      <w:r>
        <w:rPr>
          <w:rFonts w:ascii="宋体" w:hAnsi="宋体"/>
        </w:rPr>
        <w:t>常规组分</w:t>
      </w:r>
      <w:r>
        <w:rPr>
          <w:rFonts w:hint="eastAsia" w:ascii="宋体" w:hAnsi="宋体"/>
        </w:rPr>
        <w:t>的分析方法，并具备一定地拓展该方法能力。</w:t>
      </w:r>
    </w:p>
    <w:p>
      <w:pPr>
        <w:pStyle w:val="4"/>
        <w:numPr>
          <w:ilvl w:val="0"/>
          <w:numId w:val="0"/>
        </w:numPr>
        <w:spacing w:before="120" w:after="0" w:line="300" w:lineRule="auto"/>
        <w:ind w:right="248" w:rightChars="118" w:firstLine="211" w:firstLineChars="100"/>
        <w:rPr>
          <w:rFonts w:ascii="Times New Roman" w:hAnsi="Times New Roman" w:eastAsia="宋体" w:cs="Times New Roman"/>
          <w:kern w:val="0"/>
          <w:sz w:val="21"/>
          <w:szCs w:val="21"/>
        </w:rPr>
      </w:pPr>
      <w:bookmarkStart w:id="8" w:name="_英文简介"/>
      <w:bookmarkEnd w:id="8"/>
      <w:bookmarkStart w:id="9" w:name="_Toc19812"/>
      <w:r>
        <w:rPr>
          <w:rFonts w:hint="eastAsia" w:ascii="Times New Roman" w:hAnsi="Times New Roman" w:eastAsia="宋体" w:cs="Times New Roman"/>
          <w:kern w:val="0"/>
          <w:sz w:val="21"/>
          <w:szCs w:val="21"/>
          <w:lang w:val="en-US" w:eastAsia="zh-CN"/>
        </w:rPr>
        <w:t>1.2</w:t>
      </w:r>
      <w:r>
        <w:rPr>
          <w:rFonts w:hint="eastAsia" w:ascii="Times New Roman" w:hAnsi="Times New Roman" w:eastAsia="宋体" w:cs="Times New Roman"/>
          <w:kern w:val="0"/>
          <w:sz w:val="21"/>
          <w:szCs w:val="21"/>
        </w:rPr>
        <w:t>英文简介</w:t>
      </w:r>
      <w:bookmarkEnd w:id="9"/>
    </w:p>
    <w:p>
      <w:pPr>
        <w:spacing w:line="360" w:lineRule="auto"/>
        <w:ind w:firstLine="420" w:firstLineChars="200"/>
        <w:rPr>
          <w:rFonts w:ascii="宋体" w:hAnsi="宋体"/>
        </w:rPr>
      </w:pPr>
      <w:r>
        <w:rPr>
          <w:rFonts w:hint="default" w:ascii="Times New Roman" w:hAnsi="Times New Roman" w:cs="Times New Roman"/>
        </w:rPr>
        <w:t>This course is a degree program for undergraduate students of Zhejiang University. It include three parts: a) Introduction to basic methods of seawater analysis, including processes of sampling, pretreatment, separation, beneficiation and measurement. b) The relationship among seawater analysis of oceanographic surveys with different purposes, including surveys of marine chemistry, marine environmental chemistry and marine pollution. c) Introduction of the prospective and various applications of this subject. Through theoretical study and practical training, students can systematically understand and master the principles of seawater analysis which could be applied in marine chemistry, marine environmental chemistry and marine pollution related program. Besides, student should acquire the ability to modulate the analysis methods to adapt to different measurement environments.</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10" w:name="_Toc428383249"/>
      <w:bookmarkStart w:id="11" w:name="_Toc14052"/>
      <w:bookmarkStart w:id="12" w:name="_Toc51690313"/>
      <w:r>
        <w:rPr>
          <w:rFonts w:hint="eastAsia"/>
          <w:b/>
          <w:bCs w:val="0"/>
          <w:sz w:val="24"/>
          <w:szCs w:val="24"/>
        </w:rPr>
        <w:t>课程目标与毕业要求指标点关系</w:t>
      </w:r>
      <w:bookmarkEnd w:id="10"/>
      <w:r>
        <w:rPr>
          <w:rFonts w:hint="eastAsia"/>
          <w:b/>
          <w:bCs w:val="0"/>
          <w:sz w:val="24"/>
          <w:szCs w:val="24"/>
        </w:rPr>
        <w:t>、可测量结果</w:t>
      </w:r>
      <w:bookmarkEnd w:id="11"/>
      <w:bookmarkEnd w:id="12"/>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rPr>
      </w:pPr>
      <w:bookmarkStart w:id="13" w:name="_Toc10378"/>
      <w:r>
        <w:rPr>
          <w:rFonts w:hint="eastAsia" w:ascii="Times New Roman" w:hAnsi="Times New Roman" w:eastAsia="宋体" w:cs="Times New Roman"/>
          <w:kern w:val="0"/>
          <w:sz w:val="21"/>
          <w:szCs w:val="21"/>
          <w:lang w:val="en-US" w:eastAsia="zh-CN"/>
        </w:rPr>
        <w:t>2.1</w:t>
      </w:r>
      <w:r>
        <w:rPr>
          <w:rFonts w:hint="eastAsia" w:ascii="Times New Roman" w:hAnsi="Times New Roman" w:eastAsia="宋体" w:cs="Times New Roman"/>
          <w:kern w:val="0"/>
          <w:sz w:val="21"/>
          <w:szCs w:val="21"/>
        </w:rPr>
        <w:t>课程目标</w:t>
      </w:r>
      <w:bookmarkEnd w:id="13"/>
    </w:p>
    <w:p>
      <w:pPr>
        <w:pStyle w:val="20"/>
        <w:numPr>
          <w:ilvl w:val="0"/>
          <w:numId w:val="0"/>
        </w:numPr>
        <w:spacing w:line="360" w:lineRule="auto"/>
        <w:ind w:firstLine="420" w:firstLineChars="200"/>
        <w:rPr>
          <w:rFonts w:ascii="宋体" w:hAnsi="宋体"/>
        </w:rPr>
      </w:pPr>
      <w:r>
        <w:rPr>
          <w:rFonts w:hint="eastAsia" w:ascii="宋体" w:hAnsi="宋体"/>
          <w:lang w:val="en-US" w:eastAsia="zh-CN"/>
        </w:rPr>
        <w:t>1)</w:t>
      </w:r>
      <w:r>
        <w:rPr>
          <w:rFonts w:hint="eastAsia" w:ascii="宋体" w:hAnsi="宋体"/>
        </w:rPr>
        <w:t>明确海水分析化学的基本内容与涵盖范围，系统性地掌握与海洋化学、海洋环境化学和海洋污染有关调查项目中常规组分的分析原理、样品采集、处理、贮存和测试方法，了解海水分析化学在海洋科学研究中的重要作用及其发展前景。</w:t>
      </w:r>
      <w:r>
        <w:rPr>
          <w:bCs/>
          <w:color w:val="000000"/>
          <w:szCs w:val="21"/>
        </w:rPr>
        <w:t>（支撑毕业要求1-4</w:t>
      </w:r>
      <w:r>
        <w:rPr>
          <w:rFonts w:hint="eastAsia"/>
          <w:bCs/>
          <w:color w:val="000000"/>
          <w:szCs w:val="21"/>
        </w:rPr>
        <w:t>/H</w:t>
      </w:r>
      <w:r>
        <w:rPr>
          <w:bCs/>
          <w:color w:val="000000"/>
          <w:szCs w:val="21"/>
        </w:rPr>
        <w:t>）</w:t>
      </w:r>
    </w:p>
    <w:p>
      <w:pPr>
        <w:pStyle w:val="20"/>
        <w:numPr>
          <w:ilvl w:val="0"/>
          <w:numId w:val="0"/>
        </w:numPr>
        <w:spacing w:line="360" w:lineRule="auto"/>
        <w:ind w:firstLine="420" w:firstLineChars="200"/>
        <w:rPr>
          <w:bCs/>
          <w:color w:val="000000"/>
          <w:szCs w:val="21"/>
        </w:rPr>
      </w:pPr>
      <w:r>
        <w:rPr>
          <w:rFonts w:hint="eastAsia" w:ascii="宋体" w:hAnsi="宋体"/>
          <w:lang w:val="en-US" w:eastAsia="zh-CN"/>
        </w:rPr>
        <w:t>2)</w:t>
      </w:r>
      <w:r>
        <w:rPr>
          <w:rFonts w:hint="eastAsia" w:ascii="宋体" w:hAnsi="宋体"/>
        </w:rPr>
        <w:t>掌握海水分析化学基本知识、基本理论，熟练掌握海水分析化学常量元素的贮存、前处理、测量方法和误差分析，了解不同测量方法之间的差异、优缺点和适用范围。</w:t>
      </w:r>
      <w:bookmarkStart w:id="14" w:name="_Hlk51743044"/>
      <w:r>
        <w:rPr>
          <w:bCs/>
          <w:color w:val="000000"/>
          <w:szCs w:val="21"/>
        </w:rPr>
        <w:t>（支撑毕业要求2-2</w:t>
      </w:r>
      <w:r>
        <w:rPr>
          <w:rFonts w:hint="eastAsia"/>
          <w:bCs/>
          <w:color w:val="000000"/>
          <w:szCs w:val="21"/>
        </w:rPr>
        <w:t>/H</w:t>
      </w:r>
      <w:r>
        <w:rPr>
          <w:bCs/>
          <w:color w:val="000000"/>
          <w:szCs w:val="21"/>
        </w:rPr>
        <w:t>）</w:t>
      </w:r>
      <w:bookmarkEnd w:id="14"/>
    </w:p>
    <w:p>
      <w:pPr>
        <w:pStyle w:val="20"/>
        <w:numPr>
          <w:ilvl w:val="0"/>
          <w:numId w:val="0"/>
        </w:numPr>
        <w:spacing w:line="360" w:lineRule="auto"/>
        <w:ind w:firstLine="420" w:firstLineChars="200"/>
        <w:rPr>
          <w:rFonts w:ascii="宋体" w:hAnsi="宋体"/>
        </w:rPr>
      </w:pPr>
      <w:r>
        <w:rPr>
          <w:rFonts w:hint="eastAsia" w:ascii="宋体" w:hAnsi="宋体"/>
          <w:lang w:val="en-US" w:eastAsia="zh-CN"/>
        </w:rPr>
        <w:t>3)</w:t>
      </w:r>
      <w:r>
        <w:rPr>
          <w:rFonts w:ascii="宋体" w:hAnsi="宋体"/>
        </w:rPr>
        <w:t>掌握滴定分析、紫外分光光度法等常用方法的原理以及在使用过程中的注意事项。</w:t>
      </w:r>
      <w:r>
        <w:rPr>
          <w:bCs/>
          <w:color w:val="000000"/>
          <w:szCs w:val="21"/>
        </w:rPr>
        <w:t>（支撑毕业要求1-4</w:t>
      </w:r>
      <w:r>
        <w:rPr>
          <w:rFonts w:hint="eastAsia"/>
          <w:bCs/>
          <w:color w:val="000000"/>
          <w:szCs w:val="21"/>
        </w:rPr>
        <w:t>/H，</w:t>
      </w:r>
      <w:r>
        <w:rPr>
          <w:bCs/>
          <w:color w:val="000000"/>
          <w:szCs w:val="21"/>
        </w:rPr>
        <w:t>3-3</w:t>
      </w:r>
      <w:r>
        <w:rPr>
          <w:rFonts w:hint="eastAsia"/>
          <w:bCs/>
          <w:color w:val="000000"/>
          <w:szCs w:val="21"/>
        </w:rPr>
        <w:t>/M</w:t>
      </w:r>
      <w:r>
        <w:rPr>
          <w:bCs/>
          <w:color w:val="000000"/>
          <w:szCs w:val="21"/>
        </w:rPr>
        <w:t>）</w:t>
      </w:r>
    </w:p>
    <w:p>
      <w:pPr>
        <w:pStyle w:val="20"/>
        <w:numPr>
          <w:ilvl w:val="0"/>
          <w:numId w:val="0"/>
        </w:num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掌握海水相关分析参数方法的演变以及所支撑演变背后的基本理论，具备相关测量方法在特殊水系统的应用进行分析优化的能力。通过结合实验课，掌握海洋科学工作的基本理论和实践技能。</w:t>
      </w:r>
      <w:r>
        <w:rPr>
          <w:bCs/>
          <w:color w:val="000000"/>
          <w:szCs w:val="21"/>
        </w:rPr>
        <w:t>（支撑毕业要求5</w:t>
      </w:r>
      <w:r>
        <w:rPr>
          <w:rFonts w:hint="eastAsia"/>
          <w:bCs/>
          <w:color w:val="000000"/>
          <w:szCs w:val="21"/>
        </w:rPr>
        <w:t>-</w:t>
      </w:r>
      <w:r>
        <w:rPr>
          <w:bCs/>
          <w:color w:val="000000"/>
          <w:szCs w:val="21"/>
        </w:rPr>
        <w:t>2</w:t>
      </w:r>
      <w:r>
        <w:rPr>
          <w:rFonts w:hint="eastAsia"/>
          <w:bCs/>
          <w:color w:val="000000"/>
          <w:szCs w:val="21"/>
        </w:rPr>
        <w:t>/H）</w:t>
      </w:r>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rPr>
      </w:pPr>
      <w:bookmarkStart w:id="15" w:name="_Toc1491"/>
      <w:r>
        <w:rPr>
          <w:rFonts w:hint="eastAsia" w:ascii="Times New Roman" w:hAnsi="Times New Roman" w:eastAsia="宋体" w:cs="Times New Roman"/>
          <w:kern w:val="0"/>
          <w:sz w:val="21"/>
          <w:szCs w:val="21"/>
          <w:lang w:val="en-US" w:eastAsia="zh-CN"/>
        </w:rPr>
        <w:t>2.2课程目标与毕业要求指标点关系</w:t>
      </w:r>
      <w:bookmarkEnd w:id="15"/>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968"/>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29" w:type="pct"/>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序号</w:t>
            </w:r>
          </w:p>
        </w:tc>
        <w:tc>
          <w:tcPr>
            <w:tcW w:w="2328" w:type="pct"/>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课程目标</w:t>
            </w:r>
          </w:p>
        </w:tc>
        <w:tc>
          <w:tcPr>
            <w:tcW w:w="2243" w:type="pct"/>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autoSpaceDE w:val="0"/>
              <w:autoSpaceDN w:val="0"/>
              <w:adjustRightInd w:val="0"/>
              <w:snapToGrid w:val="0"/>
              <w:jc w:val="center"/>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w:t>
            </w:r>
          </w:p>
        </w:tc>
        <w:tc>
          <w:tcPr>
            <w:tcW w:w="2328"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了解海水的特性，明确由海水特性对相关化学元素分析带来的特殊性。</w:t>
            </w:r>
          </w:p>
        </w:tc>
        <w:tc>
          <w:tcPr>
            <w:tcW w:w="2243"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1-4（H）掌握海洋科学专业知识，并能够综合应用相关知识解决海洋科学专业领域复杂问题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autoSpaceDE w:val="0"/>
              <w:autoSpaceDN w:val="0"/>
              <w:adjustRightInd w:val="0"/>
              <w:snapToGrid w:val="0"/>
              <w:jc w:val="center"/>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w:t>
            </w:r>
          </w:p>
        </w:tc>
        <w:tc>
          <w:tcPr>
            <w:tcW w:w="2328" w:type="pct"/>
            <w:vAlign w:val="center"/>
          </w:tcPr>
          <w:p>
            <w:pPr>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掌握海水中氯度、盐度、溶解氧、化学耗氧量、营养盐、碳酸盐等参数的相关测量原理及相关误差分析</w:t>
            </w:r>
          </w:p>
        </w:tc>
        <w:tc>
          <w:tcPr>
            <w:tcW w:w="2243"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1-4（H）掌握海洋科学专业知识，并能够综合应用相关知识解决海洋科学专业领域复杂问题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autoSpaceDE w:val="0"/>
              <w:autoSpaceDN w:val="0"/>
              <w:adjustRightInd w:val="0"/>
              <w:snapToGrid w:val="0"/>
              <w:jc w:val="center"/>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3</w:t>
            </w:r>
          </w:p>
        </w:tc>
        <w:tc>
          <w:tcPr>
            <w:tcW w:w="2328" w:type="pct"/>
            <w:vAlign w:val="center"/>
          </w:tcPr>
          <w:p>
            <w:pPr>
              <w:jc w:val="left"/>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了解海水样品预处理、贮存的分类和方法，明确各样品预处理方法的意义、优缺点和适用情况</w:t>
            </w:r>
          </w:p>
        </w:tc>
        <w:tc>
          <w:tcPr>
            <w:tcW w:w="2243"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2-2（H）能够应用自然科学知识和计算机技术，研究分析海洋科学专业领域理论及应用问题，获得有效结论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autoSpaceDE w:val="0"/>
              <w:autoSpaceDN w:val="0"/>
              <w:adjustRightInd w:val="0"/>
              <w:snapToGrid w:val="0"/>
              <w:jc w:val="center"/>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4</w:t>
            </w:r>
          </w:p>
        </w:tc>
        <w:tc>
          <w:tcPr>
            <w:tcW w:w="2328"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掌握滴定分析、紫外分光光度法等常用方法的原理以及在使用过程中的注意事项。</w:t>
            </w:r>
          </w:p>
        </w:tc>
        <w:tc>
          <w:tcPr>
            <w:tcW w:w="2243"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3-3（M）能够对实验获得的数据进行分析得出有效结论，并对实验中出现的问题和现象进行分析、解释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autoSpaceDE w:val="0"/>
              <w:autoSpaceDN w:val="0"/>
              <w:adjustRightInd w:val="0"/>
              <w:snapToGrid w:val="0"/>
              <w:jc w:val="center"/>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5</w:t>
            </w:r>
          </w:p>
        </w:tc>
        <w:tc>
          <w:tcPr>
            <w:tcW w:w="2328"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bookmarkStart w:id="16" w:name="_Hlk51743093"/>
            <w:r>
              <w:rPr>
                <w:rFonts w:hint="eastAsia" w:ascii="宋体" w:hAnsi="宋体" w:eastAsia="宋体" w:cs="Times New Roman"/>
                <w:kern w:val="2"/>
                <w:sz w:val="21"/>
                <w:szCs w:val="22"/>
                <w:lang w:val="en-US" w:eastAsia="zh-CN" w:bidi="ar-SA"/>
              </w:rPr>
              <w:t>掌握海水相关分析参数方法的演变以及所支撑演变背后的基本理论，具备相关测量方法在特殊水系统的应用进行分析优化的能力。</w:t>
            </w:r>
            <w:bookmarkEnd w:id="16"/>
          </w:p>
        </w:tc>
        <w:tc>
          <w:tcPr>
            <w:tcW w:w="2243" w:type="pct"/>
            <w:vAlign w:val="center"/>
          </w:tcPr>
          <w:p>
            <w:pPr>
              <w:autoSpaceDE w:val="0"/>
              <w:autoSpaceDN w:val="0"/>
              <w:adjustRightInd w:val="0"/>
              <w:snapToGrid w:val="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5-2（H）能够开发、选择与使用恰当的技术、资源和工具，对海洋科学领域复杂问题进行模拟或分析或设计或仿真</w:t>
            </w:r>
          </w:p>
        </w:tc>
      </w:tr>
    </w:tbl>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17" w:name="_Toc24890"/>
      <w:r>
        <w:rPr>
          <w:rFonts w:hint="eastAsia" w:ascii="Times New Roman" w:hAnsi="Times New Roman" w:eastAsia="宋体" w:cs="Times New Roman"/>
          <w:kern w:val="0"/>
          <w:sz w:val="21"/>
          <w:szCs w:val="21"/>
          <w:lang w:val="en-US" w:eastAsia="zh-CN"/>
        </w:rPr>
        <w:t>2.3可测量结果</w:t>
      </w:r>
      <w:bookmarkEnd w:id="17"/>
    </w:p>
    <w:p>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通过作业、实验、学生的文献报告讲解和讨论、课堂讨论及考试可测量学生对海水分析化学相关基础知识的掌握，重点检测以下几方面知识的掌握及运用：</w:t>
      </w:r>
    </w:p>
    <w:p>
      <w:pPr>
        <w:pStyle w:val="20"/>
        <w:numPr>
          <w:ilvl w:val="0"/>
          <w:numId w:val="0"/>
        </w:numPr>
        <w:spacing w:line="360" w:lineRule="auto"/>
        <w:ind w:left="420" w:leftChars="0"/>
        <w:rPr>
          <w:rFonts w:ascii="宋体" w:hAnsi="宋体"/>
        </w:rPr>
      </w:pPr>
      <w:r>
        <w:rPr>
          <w:rFonts w:hint="eastAsia" w:ascii="宋体" w:hAnsi="宋体"/>
          <w:lang w:val="en-US" w:eastAsia="zh-CN"/>
        </w:rPr>
        <w:t>1）</w:t>
      </w:r>
      <w:r>
        <w:rPr>
          <w:rFonts w:hint="eastAsia" w:ascii="宋体" w:hAnsi="宋体"/>
        </w:rPr>
        <w:t>海水分析测量与淡水测量的主要区别和难点</w:t>
      </w:r>
      <w:r>
        <w:rPr>
          <w:rFonts w:ascii="宋体" w:hAnsi="宋体"/>
        </w:rPr>
        <w:t>；</w:t>
      </w:r>
    </w:p>
    <w:p>
      <w:pPr>
        <w:pStyle w:val="20"/>
        <w:numPr>
          <w:ilvl w:val="0"/>
          <w:numId w:val="0"/>
        </w:numPr>
        <w:spacing w:line="360" w:lineRule="auto"/>
        <w:ind w:left="420" w:leftChars="0"/>
        <w:rPr>
          <w:rFonts w:ascii="宋体" w:hAnsi="宋体"/>
        </w:rPr>
      </w:pPr>
      <w:r>
        <w:rPr>
          <w:rFonts w:hint="eastAsia" w:ascii="宋体" w:hAnsi="宋体"/>
          <w:lang w:val="en-US" w:eastAsia="zh-CN"/>
        </w:rPr>
        <w:t>2）</w:t>
      </w:r>
      <w:r>
        <w:rPr>
          <w:rFonts w:hint="eastAsia" w:ascii="宋体" w:hAnsi="宋体"/>
        </w:rPr>
        <w:t>掌握海水分析中最基本的元素测量方法、测量原理及误差分析</w:t>
      </w:r>
      <w:r>
        <w:rPr>
          <w:rFonts w:ascii="宋体" w:hAnsi="宋体"/>
        </w:rPr>
        <w:t>；</w:t>
      </w:r>
    </w:p>
    <w:p>
      <w:pPr>
        <w:pStyle w:val="20"/>
        <w:numPr>
          <w:ilvl w:val="0"/>
          <w:numId w:val="0"/>
        </w:numPr>
        <w:spacing w:line="360" w:lineRule="auto"/>
        <w:ind w:left="420" w:leftChars="0"/>
        <w:rPr>
          <w:rFonts w:ascii="宋体" w:hAnsi="宋体"/>
        </w:rPr>
      </w:pPr>
      <w:r>
        <w:rPr>
          <w:rFonts w:hint="eastAsia" w:ascii="宋体" w:hAnsi="宋体"/>
          <w:lang w:val="en-US" w:eastAsia="zh-CN"/>
        </w:rPr>
        <w:t>3）</w:t>
      </w:r>
      <w:r>
        <w:rPr>
          <w:rFonts w:hint="eastAsia" w:ascii="宋体" w:hAnsi="宋体"/>
        </w:rPr>
        <w:t>掌握相关仪器的使用，并对仪器的测量原理、测量优缺点有清晰地认识</w:t>
      </w:r>
      <w:r>
        <w:rPr>
          <w:rFonts w:ascii="宋体" w:hAnsi="宋体"/>
        </w:rPr>
        <w:t>；</w:t>
      </w:r>
    </w:p>
    <w:p>
      <w:pPr>
        <w:pStyle w:val="20"/>
        <w:numPr>
          <w:ilvl w:val="0"/>
          <w:numId w:val="0"/>
        </w:numPr>
        <w:spacing w:line="360" w:lineRule="auto"/>
        <w:ind w:firstLine="420" w:firstLineChars="200"/>
        <w:rPr>
          <w:rFonts w:hint="eastAsia" w:ascii="宋体" w:hAnsi="宋体"/>
        </w:rPr>
      </w:pPr>
      <w:r>
        <w:rPr>
          <w:rFonts w:hint="eastAsia" w:ascii="宋体" w:hAnsi="宋体"/>
          <w:lang w:val="en-US" w:eastAsia="zh-CN"/>
        </w:rPr>
        <w:t>4）</w:t>
      </w:r>
      <w:r>
        <w:rPr>
          <w:rFonts w:ascii="宋体" w:hAnsi="宋体"/>
        </w:rPr>
        <w:t>具备</w:t>
      </w:r>
      <w:r>
        <w:rPr>
          <w:rFonts w:hint="eastAsia" w:ascii="宋体" w:hAnsi="宋体"/>
        </w:rPr>
        <w:t>将海水中最基本的分析方法推广到应用领域，</w:t>
      </w:r>
      <w:r>
        <w:rPr>
          <w:rFonts w:ascii="宋体" w:hAnsi="宋体"/>
        </w:rPr>
        <w:t>具备</w:t>
      </w:r>
      <w:r>
        <w:rPr>
          <w:rFonts w:hint="eastAsia" w:ascii="宋体" w:hAnsi="宋体"/>
        </w:rPr>
        <w:t>相关测量方法在特殊水系统的应用</w:t>
      </w:r>
      <w:r>
        <w:rPr>
          <w:rFonts w:ascii="宋体" w:hAnsi="宋体"/>
        </w:rPr>
        <w:t>进行分析</w:t>
      </w:r>
      <w:r>
        <w:rPr>
          <w:rFonts w:hint="eastAsia" w:ascii="宋体" w:hAnsi="宋体"/>
        </w:rPr>
        <w:t>优化</w:t>
      </w:r>
      <w:r>
        <w:rPr>
          <w:rFonts w:ascii="宋体" w:hAnsi="宋体"/>
        </w:rPr>
        <w:t>的能力</w:t>
      </w:r>
      <w:r>
        <w:rPr>
          <w:rFonts w:hint="eastAsia" w:ascii="宋体" w:hAnsi="宋体"/>
        </w:rPr>
        <w:t>，具备</w:t>
      </w:r>
      <w:r>
        <w:rPr>
          <w:rFonts w:ascii="宋体" w:hAnsi="宋体"/>
        </w:rPr>
        <w:t>与实践相结合的能力。</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18" w:name="_Toc5998"/>
      <w:r>
        <w:rPr>
          <w:rFonts w:hint="eastAsia"/>
          <w:b/>
          <w:bCs w:val="0"/>
          <w:sz w:val="24"/>
          <w:szCs w:val="24"/>
        </w:rPr>
        <w:t>课程要求与学生过程管理方式</w:t>
      </w:r>
      <w:bookmarkEnd w:id="18"/>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19" w:name="_Toc29962"/>
      <w:r>
        <w:rPr>
          <w:rFonts w:hint="eastAsia" w:ascii="Times New Roman" w:hAnsi="Times New Roman" w:eastAsia="宋体" w:cs="Times New Roman"/>
          <w:kern w:val="0"/>
          <w:sz w:val="21"/>
          <w:szCs w:val="21"/>
          <w:lang w:val="en-US" w:eastAsia="zh-CN"/>
        </w:rPr>
        <w:t>3.1授课方式与要求</w:t>
      </w:r>
      <w:bookmarkEnd w:id="19"/>
    </w:p>
    <w:p>
      <w:pPr>
        <w:pStyle w:val="20"/>
        <w:numPr>
          <w:ilvl w:val="0"/>
          <w:numId w:val="2"/>
        </w:numPr>
        <w:spacing w:line="360" w:lineRule="auto"/>
        <w:ind w:leftChars="0" w:firstLine="422" w:firstLineChars="200"/>
        <w:jc w:val="left"/>
        <w:rPr>
          <w:rFonts w:hint="eastAsia" w:ascii="宋体" w:hAnsi="宋体"/>
        </w:rPr>
      </w:pPr>
      <w:r>
        <w:rPr>
          <w:rFonts w:hint="eastAsia" w:ascii="宋体" w:hAnsi="宋体"/>
          <w:b/>
          <w:bCs/>
        </w:rPr>
        <w:t>课堂讲解：</w:t>
      </w:r>
      <w:r>
        <w:rPr>
          <w:rFonts w:hint="eastAsia" w:ascii="宋体" w:hAnsi="宋体"/>
        </w:rPr>
        <w:t>教师讲授理论课，讲授课程内容，突出重点和难点，每章节总结、归纳。讲授过程中</w:t>
      </w:r>
      <w:r>
        <w:rPr>
          <w:rFonts w:ascii="宋体" w:hAnsi="宋体"/>
        </w:rPr>
        <w:t>兼顾课程内容的基础性、先进性，在详细介绍课程基本、核心内容的同时，介绍与时俱进发展的新内容、新技术，</w:t>
      </w:r>
      <w:r>
        <w:rPr>
          <w:rFonts w:hint="eastAsia" w:ascii="宋体" w:hAnsi="宋体"/>
        </w:rPr>
        <w:t>和发展趋势。</w:t>
      </w:r>
    </w:p>
    <w:p>
      <w:pPr>
        <w:pStyle w:val="20"/>
        <w:numPr>
          <w:ilvl w:val="0"/>
          <w:numId w:val="2"/>
        </w:numPr>
        <w:spacing w:line="360" w:lineRule="auto"/>
        <w:ind w:leftChars="0" w:firstLine="422" w:firstLineChars="200"/>
        <w:jc w:val="left"/>
        <w:rPr>
          <w:rFonts w:ascii="宋体" w:hAnsi="宋体"/>
        </w:rPr>
      </w:pPr>
      <w:r>
        <w:rPr>
          <w:rFonts w:ascii="宋体" w:hAnsi="宋体"/>
          <w:b/>
          <w:bCs/>
        </w:rPr>
        <w:t>翻转教学：</w:t>
      </w:r>
      <w:r>
        <w:rPr>
          <w:rFonts w:hint="eastAsia" w:ascii="宋体" w:hAnsi="宋体"/>
        </w:rPr>
        <w:t>找相关方法的进展类文献，</w:t>
      </w:r>
      <w:r>
        <w:rPr>
          <w:rFonts w:ascii="宋体" w:hAnsi="宋体"/>
        </w:rPr>
        <w:t>布置给学生，由学生</w:t>
      </w:r>
      <w:r>
        <w:rPr>
          <w:rFonts w:hint="eastAsia" w:ascii="宋体" w:hAnsi="宋体"/>
        </w:rPr>
        <w:t>通过讲解文献的方式</w:t>
      </w:r>
      <w:r>
        <w:rPr>
          <w:rFonts w:ascii="宋体" w:hAnsi="宋体"/>
        </w:rPr>
        <w:t>进行</w:t>
      </w:r>
      <w:r>
        <w:rPr>
          <w:rFonts w:hint="eastAsia" w:ascii="宋体" w:hAnsi="宋体"/>
        </w:rPr>
        <w:t>进展类</w:t>
      </w:r>
      <w:r>
        <w:rPr>
          <w:rFonts w:ascii="宋体" w:hAnsi="宋体"/>
        </w:rPr>
        <w:t>内容的讲解，</w:t>
      </w:r>
      <w:r>
        <w:rPr>
          <w:rFonts w:hint="eastAsia" w:ascii="宋体" w:hAnsi="宋体"/>
        </w:rPr>
        <w:t>并通过教</w:t>
      </w:r>
      <w:r>
        <w:rPr>
          <w:rFonts w:ascii="宋体" w:hAnsi="宋体"/>
        </w:rPr>
        <w:t>师</w:t>
      </w:r>
      <w:r>
        <w:rPr>
          <w:rFonts w:hint="eastAsia" w:ascii="宋体" w:hAnsi="宋体"/>
        </w:rPr>
        <w:t>的</w:t>
      </w:r>
      <w:r>
        <w:rPr>
          <w:rFonts w:ascii="宋体" w:hAnsi="宋体"/>
        </w:rPr>
        <w:t>组织与引导</w:t>
      </w:r>
      <w:r>
        <w:rPr>
          <w:rFonts w:hint="eastAsia" w:ascii="宋体" w:hAnsi="宋体"/>
        </w:rPr>
        <w:t>开展讨论</w:t>
      </w:r>
      <w:r>
        <w:rPr>
          <w:rFonts w:ascii="宋体" w:hAnsi="宋体"/>
        </w:rPr>
        <w:t>。促进学生自主学习和学习能力的提高</w:t>
      </w:r>
      <w:r>
        <w:rPr>
          <w:rFonts w:hint="eastAsia" w:ascii="宋体" w:hAnsi="宋体"/>
        </w:rPr>
        <w:t>，并激发其对学科前沿发展的兴趣</w:t>
      </w:r>
      <w:r>
        <w:rPr>
          <w:rFonts w:ascii="宋体" w:hAnsi="宋体"/>
        </w:rPr>
        <w:t>。</w:t>
      </w:r>
    </w:p>
    <w:p>
      <w:pPr>
        <w:pStyle w:val="20"/>
        <w:numPr>
          <w:ilvl w:val="0"/>
          <w:numId w:val="2"/>
        </w:numPr>
        <w:spacing w:line="360" w:lineRule="auto"/>
        <w:ind w:leftChars="0" w:firstLine="422" w:firstLineChars="200"/>
        <w:jc w:val="left"/>
        <w:rPr>
          <w:rFonts w:ascii="宋体" w:hAnsi="宋体"/>
        </w:rPr>
      </w:pPr>
      <w:r>
        <w:rPr>
          <w:rFonts w:hint="eastAsia" w:ascii="宋体" w:hAnsi="宋体"/>
          <w:b/>
          <w:bCs/>
        </w:rPr>
        <w:t>实验：</w:t>
      </w:r>
      <w:r>
        <w:rPr>
          <w:rFonts w:hint="eastAsia" w:ascii="宋体" w:hAnsi="宋体"/>
        </w:rPr>
        <w:t>在完成相关分析方法的理论教学后，开展实验教学。实验由学生分组完成，</w:t>
      </w:r>
      <w:r>
        <w:rPr>
          <w:rFonts w:ascii="宋体" w:hAnsi="宋体"/>
        </w:rPr>
        <w:t>通过</w:t>
      </w:r>
      <w:r>
        <w:rPr>
          <w:rFonts w:hint="eastAsia" w:ascii="宋体" w:hAnsi="宋体"/>
        </w:rPr>
        <w:t>实验过程，实现学生</w:t>
      </w:r>
      <w:r>
        <w:rPr>
          <w:rFonts w:ascii="宋体" w:hAnsi="宋体"/>
        </w:rPr>
        <w:t>巩固课程知识，</w:t>
      </w:r>
      <w:r>
        <w:rPr>
          <w:rFonts w:hint="eastAsia" w:ascii="宋体" w:hAnsi="宋体"/>
        </w:rPr>
        <w:t>并</w:t>
      </w:r>
      <w:r>
        <w:rPr>
          <w:rFonts w:ascii="宋体" w:hAnsi="宋体"/>
        </w:rPr>
        <w:t>培养学生的</w:t>
      </w:r>
      <w:r>
        <w:rPr>
          <w:rFonts w:hint="eastAsia" w:ascii="宋体" w:hAnsi="宋体"/>
        </w:rPr>
        <w:t>动手能力及</w:t>
      </w:r>
      <w:r>
        <w:rPr>
          <w:rFonts w:ascii="宋体" w:hAnsi="宋体"/>
        </w:rPr>
        <w:t>知识应用能力。实验</w:t>
      </w:r>
      <w:r>
        <w:rPr>
          <w:rFonts w:hint="eastAsia" w:ascii="宋体" w:hAnsi="宋体"/>
        </w:rPr>
        <w:t>主要为</w:t>
      </w:r>
      <w:r>
        <w:rPr>
          <w:rFonts w:ascii="宋体" w:hAnsi="宋体"/>
        </w:rPr>
        <w:t>基础规范型</w:t>
      </w:r>
      <w:r>
        <w:rPr>
          <w:rFonts w:hint="eastAsia" w:ascii="宋体" w:hAnsi="宋体"/>
        </w:rPr>
        <w:t>实验。</w:t>
      </w:r>
    </w:p>
    <w:p>
      <w:pPr>
        <w:pStyle w:val="20"/>
        <w:numPr>
          <w:ilvl w:val="0"/>
          <w:numId w:val="2"/>
        </w:numPr>
        <w:spacing w:line="360" w:lineRule="auto"/>
        <w:ind w:leftChars="0" w:firstLine="422" w:firstLineChars="200"/>
        <w:jc w:val="left"/>
        <w:rPr>
          <w:rFonts w:ascii="宋体" w:hAnsi="宋体"/>
        </w:rPr>
      </w:pPr>
      <w:r>
        <w:rPr>
          <w:rFonts w:hint="eastAsia" w:ascii="宋体" w:hAnsi="宋体"/>
          <w:b/>
          <w:bCs/>
        </w:rPr>
        <w:t>作业：</w:t>
      </w:r>
      <w:r>
        <w:rPr>
          <w:rFonts w:hint="eastAsia" w:ascii="宋体" w:hAnsi="宋体"/>
          <w:bCs/>
        </w:rPr>
        <w:t>每章布置适当作业并与实验结合，由学生在</w:t>
      </w:r>
      <w:r>
        <w:rPr>
          <w:rFonts w:hint="eastAsia" w:ascii="宋体" w:hAnsi="宋体"/>
        </w:rPr>
        <w:t>课后完成。</w:t>
      </w:r>
    </w:p>
    <w:p>
      <w:pPr>
        <w:pStyle w:val="20"/>
        <w:numPr>
          <w:ilvl w:val="0"/>
          <w:numId w:val="2"/>
        </w:numPr>
        <w:spacing w:line="360" w:lineRule="auto"/>
        <w:ind w:leftChars="0" w:firstLine="422" w:firstLineChars="200"/>
        <w:jc w:val="left"/>
        <w:rPr>
          <w:rFonts w:ascii="宋体" w:hAnsi="宋体"/>
        </w:rPr>
      </w:pPr>
      <w:r>
        <w:rPr>
          <w:rFonts w:hint="eastAsia" w:ascii="宋体" w:hAnsi="宋体"/>
          <w:b/>
          <w:bCs/>
        </w:rPr>
        <w:t>考试：</w:t>
      </w:r>
      <w:r>
        <w:rPr>
          <w:rFonts w:hint="eastAsia" w:ascii="宋体" w:hAnsi="宋体"/>
        </w:rPr>
        <w:t>期末闭卷考试。</w:t>
      </w:r>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0" w:name="_Toc3900"/>
      <w:r>
        <w:rPr>
          <w:rFonts w:hint="eastAsia" w:ascii="Times New Roman" w:hAnsi="Times New Roman" w:eastAsia="宋体" w:cs="Times New Roman"/>
          <w:kern w:val="0"/>
          <w:sz w:val="21"/>
          <w:szCs w:val="21"/>
          <w:lang w:val="en-US" w:eastAsia="zh-CN"/>
        </w:rPr>
        <w:t>3.2学生过程管理方式</w:t>
      </w:r>
      <w:bookmarkEnd w:id="20"/>
    </w:p>
    <w:p>
      <w:pPr>
        <w:pStyle w:val="20"/>
        <w:numPr>
          <w:ilvl w:val="0"/>
          <w:numId w:val="3"/>
        </w:numPr>
        <w:spacing w:line="360" w:lineRule="auto"/>
        <w:ind w:leftChars="0" w:firstLine="420" w:firstLineChars="200"/>
        <w:jc w:val="left"/>
        <w:rPr>
          <w:rFonts w:hint="eastAsia" w:ascii="宋体" w:hAnsi="宋体"/>
        </w:rPr>
      </w:pPr>
      <w:r>
        <w:rPr>
          <w:rFonts w:ascii="宋体" w:hAnsi="宋体"/>
        </w:rPr>
        <w:t>课前预习和网络资源学习要求</w:t>
      </w:r>
      <w:r>
        <w:rPr>
          <w:rFonts w:hint="eastAsia" w:ascii="宋体" w:hAnsi="宋体"/>
        </w:rPr>
        <w:t>：学生以小组为单位，在每一个单元的新内容中有文献阅读讨论的要求，并以文献报告的形式在课堂上与大家进行讨论交流。学生和老师会根据小组同学的讲述程度给与打分。</w:t>
      </w:r>
    </w:p>
    <w:p>
      <w:pPr>
        <w:pStyle w:val="20"/>
        <w:numPr>
          <w:ilvl w:val="0"/>
          <w:numId w:val="3"/>
        </w:numPr>
        <w:spacing w:line="360" w:lineRule="auto"/>
        <w:ind w:leftChars="0" w:firstLine="420" w:firstLineChars="200"/>
        <w:jc w:val="left"/>
        <w:rPr>
          <w:rFonts w:ascii="宋体" w:hAnsi="宋体"/>
        </w:rPr>
      </w:pPr>
      <w:r>
        <w:rPr>
          <w:rFonts w:ascii="宋体" w:hAnsi="宋体"/>
        </w:rPr>
        <w:t>课后作业和其他任务要求</w:t>
      </w:r>
      <w:r>
        <w:rPr>
          <w:rFonts w:hint="eastAsia" w:ascii="宋体" w:hAnsi="宋体"/>
        </w:rPr>
        <w:t>：在每一章内容的理论学习之后，会有相应的实验训练，在实验过程中，学生以小组为单位，需要根据课堂的理论知识和实验教材再加上预实验的经验，给同学们讲述实验的流程及注意事项。学生和老师会根据小组同学的讲述程度给与打分。</w:t>
      </w:r>
    </w:p>
    <w:p>
      <w:pPr>
        <w:pStyle w:val="20"/>
        <w:numPr>
          <w:ilvl w:val="0"/>
          <w:numId w:val="3"/>
        </w:numPr>
        <w:spacing w:line="360" w:lineRule="auto"/>
        <w:ind w:left="0" w:leftChars="0" w:firstLine="420" w:firstLineChars="200"/>
        <w:jc w:val="left"/>
        <w:rPr>
          <w:rFonts w:hint="eastAsia" w:ascii="宋体" w:hAnsi="宋体"/>
        </w:rPr>
      </w:pPr>
      <w:r>
        <w:rPr>
          <w:rFonts w:ascii="宋体" w:hAnsi="宋体"/>
        </w:rPr>
        <w:t>讨论交流要求</w:t>
      </w:r>
      <w:r>
        <w:rPr>
          <w:rFonts w:hint="eastAsia" w:ascii="宋体" w:hAnsi="宋体"/>
        </w:rPr>
        <w:t>：在课堂的文献讨论中，不光是讲文献的小组在讲述，学生在过程中会对此进行提问讨论，从而加深对本章内容的理解。</w:t>
      </w:r>
    </w:p>
    <w:p>
      <w:pPr>
        <w:pStyle w:val="20"/>
        <w:numPr>
          <w:ilvl w:val="0"/>
          <w:numId w:val="3"/>
        </w:numPr>
        <w:spacing w:line="360" w:lineRule="auto"/>
        <w:ind w:left="0" w:leftChars="0" w:firstLine="420" w:firstLineChars="200"/>
        <w:jc w:val="left"/>
        <w:rPr>
          <w:rFonts w:ascii="宋体" w:hAnsi="宋体"/>
        </w:rPr>
      </w:pPr>
      <w:r>
        <w:rPr>
          <w:rFonts w:ascii="宋体" w:hAnsi="宋体"/>
        </w:rPr>
        <w:t>答疑安排</w:t>
      </w:r>
      <w:r>
        <w:rPr>
          <w:rFonts w:hint="eastAsia" w:ascii="宋体" w:hAnsi="宋体"/>
        </w:rPr>
        <w:t>：课后、期中、期末会安排固定时间答疑。</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21" w:name="_Toc19593"/>
      <w:r>
        <w:rPr>
          <w:rFonts w:hint="eastAsia"/>
          <w:b/>
          <w:bCs w:val="0"/>
          <w:sz w:val="24"/>
          <w:szCs w:val="24"/>
        </w:rPr>
        <w:t>考核方式与成绩构成</w:t>
      </w:r>
      <w:bookmarkEnd w:id="21"/>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2" w:name="_Toc16937"/>
      <w:r>
        <w:rPr>
          <w:rFonts w:hint="eastAsia" w:ascii="Times New Roman" w:hAnsi="Times New Roman" w:eastAsia="宋体" w:cs="Times New Roman"/>
          <w:kern w:val="0"/>
          <w:sz w:val="21"/>
          <w:szCs w:val="21"/>
          <w:lang w:val="en-US" w:eastAsia="zh-CN"/>
        </w:rPr>
        <w:t>4.1考核方式</w:t>
      </w:r>
      <w:bookmarkEnd w:id="22"/>
    </w:p>
    <w:p>
      <w:pPr>
        <w:spacing w:line="348" w:lineRule="auto"/>
        <w:ind w:right="248" w:rightChars="118" w:firstLine="420" w:firstLineChars="200"/>
        <w:rPr>
          <w:rFonts w:ascii="Times New Roman" w:hAnsi="Times New Roman" w:eastAsia="宋体" w:cs="Times New Roman"/>
          <w:szCs w:val="21"/>
        </w:rPr>
      </w:pPr>
      <w:r>
        <w:rPr>
          <w:rFonts w:ascii="Times New Roman" w:hAnsi="Times New Roman" w:eastAsia="宋体" w:cs="Times New Roman"/>
          <w:szCs w:val="21"/>
        </w:rPr>
        <w:t>采用</w:t>
      </w:r>
      <w:r>
        <w:rPr>
          <w:rFonts w:hint="eastAsia" w:ascii="Times New Roman" w:hAnsi="Times New Roman" w:eastAsia="宋体" w:cs="Times New Roman"/>
          <w:szCs w:val="21"/>
        </w:rPr>
        <w:t>过程化</w:t>
      </w:r>
      <w:r>
        <w:rPr>
          <w:rFonts w:ascii="Times New Roman" w:hAnsi="Times New Roman" w:eastAsia="宋体" w:cs="Times New Roman"/>
          <w:szCs w:val="21"/>
        </w:rPr>
        <w:t>、</w:t>
      </w:r>
      <w:r>
        <w:rPr>
          <w:rFonts w:hint="eastAsia" w:ascii="Times New Roman" w:hAnsi="Times New Roman" w:eastAsia="宋体" w:cs="Times New Roman"/>
          <w:color w:val="000000"/>
          <w:szCs w:val="21"/>
        </w:rPr>
        <w:t>多元化</w:t>
      </w:r>
      <w:r>
        <w:rPr>
          <w:rFonts w:ascii="Times New Roman" w:hAnsi="Times New Roman" w:eastAsia="宋体" w:cs="Times New Roman"/>
          <w:color w:val="000000"/>
          <w:szCs w:val="21"/>
        </w:rPr>
        <w:t>的课程考核和评价</w:t>
      </w:r>
      <w:r>
        <w:rPr>
          <w:rFonts w:hint="eastAsia" w:ascii="Times New Roman" w:hAnsi="Times New Roman" w:eastAsia="宋体" w:cs="Times New Roman"/>
          <w:color w:val="000000"/>
          <w:szCs w:val="21"/>
        </w:rPr>
        <w:t>方式</w:t>
      </w:r>
      <w:r>
        <w:rPr>
          <w:rFonts w:ascii="Times New Roman" w:hAnsi="Times New Roman" w:eastAsia="宋体" w:cs="Times New Roman"/>
          <w:szCs w:val="21"/>
        </w:rPr>
        <w:t>，注重学习过程、综合能力的培养及</w:t>
      </w:r>
      <w:r>
        <w:rPr>
          <w:rFonts w:ascii="Times New Roman" w:hAnsi="Times New Roman" w:eastAsia="宋体" w:cs="Times New Roman"/>
          <w:color w:val="000000"/>
          <w:szCs w:val="21"/>
        </w:rPr>
        <w:t>考核</w:t>
      </w:r>
      <w:r>
        <w:rPr>
          <w:rFonts w:ascii="Times New Roman" w:hAnsi="Times New Roman" w:eastAsia="宋体" w:cs="Times New Roman"/>
          <w:szCs w:val="21"/>
        </w:rPr>
        <w:t>。</w:t>
      </w:r>
      <w:r>
        <w:rPr>
          <w:rFonts w:hint="eastAsia" w:ascii="Times New Roman" w:hAnsi="Times New Roman" w:eastAsia="宋体" w:cs="Times New Roman"/>
          <w:szCs w:val="21"/>
        </w:rPr>
        <w:t>拒绝部分学生临时抱佛脚的应试心态，促使学生认真对待每个教学环节，</w:t>
      </w:r>
      <w:r>
        <w:rPr>
          <w:rFonts w:hint="eastAsia" w:ascii="Times New Roman" w:hAnsi="Times New Roman" w:eastAsia="宋体" w:cs="Times New Roman"/>
          <w:bCs/>
          <w:szCs w:val="21"/>
        </w:rPr>
        <w:t>脚踏实地地学习和掌握课程知识</w:t>
      </w:r>
      <w:r>
        <w:rPr>
          <w:rFonts w:hint="eastAsia" w:ascii="Times New Roman" w:hAnsi="Times New Roman" w:eastAsia="宋体" w:cs="Times New Roman"/>
          <w:szCs w:val="21"/>
        </w:rPr>
        <w:t>。</w:t>
      </w:r>
    </w:p>
    <w:p>
      <w:pPr>
        <w:spacing w:line="348" w:lineRule="auto"/>
        <w:ind w:right="248" w:rightChars="118"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具体包括：期中考试、期末考试，平时作业，课堂讨论情况，课程实验的过程和实验分析环节等。</w:t>
      </w:r>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3" w:name="_Toc9505"/>
      <w:r>
        <w:rPr>
          <w:rFonts w:hint="eastAsia" w:ascii="Times New Roman" w:hAnsi="Times New Roman" w:eastAsia="宋体" w:cs="Times New Roman"/>
          <w:kern w:val="0"/>
          <w:sz w:val="21"/>
          <w:szCs w:val="21"/>
          <w:lang w:val="en-US" w:eastAsia="zh-CN"/>
        </w:rPr>
        <w:t>4.2成绩构成</w:t>
      </w:r>
      <w:bookmarkEnd w:id="23"/>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910"/>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pct"/>
          </w:tcPr>
          <w:p>
            <w:pPr>
              <w:pStyle w:val="5"/>
              <w:adjustRightInd w:val="0"/>
              <w:snapToGrid w:val="0"/>
              <w:spacing w:after="0" w:line="312" w:lineRule="auto"/>
              <w:jc w:val="center"/>
              <w:rPr>
                <w:rFonts w:cs="宋体"/>
                <w:b/>
                <w:bCs/>
                <w:szCs w:val="21"/>
              </w:rPr>
            </w:pPr>
            <w:r>
              <w:rPr>
                <w:rFonts w:hint="eastAsia" w:cs="宋体"/>
                <w:b/>
                <w:bCs/>
                <w:szCs w:val="21"/>
              </w:rPr>
              <w:t>考核环节</w:t>
            </w:r>
          </w:p>
        </w:tc>
        <w:tc>
          <w:tcPr>
            <w:tcW w:w="534" w:type="pct"/>
          </w:tcPr>
          <w:p>
            <w:pPr>
              <w:pStyle w:val="5"/>
              <w:adjustRightInd w:val="0"/>
              <w:snapToGrid w:val="0"/>
              <w:spacing w:after="0" w:line="312" w:lineRule="auto"/>
              <w:jc w:val="center"/>
              <w:rPr>
                <w:rFonts w:cs="宋体"/>
                <w:b/>
                <w:bCs/>
                <w:szCs w:val="21"/>
              </w:rPr>
            </w:pPr>
            <w:r>
              <w:rPr>
                <w:rFonts w:hint="eastAsia" w:cs="宋体"/>
                <w:b/>
                <w:bCs/>
                <w:szCs w:val="21"/>
              </w:rPr>
              <w:t>分值</w:t>
            </w:r>
          </w:p>
        </w:tc>
        <w:tc>
          <w:tcPr>
            <w:tcW w:w="3620" w:type="pct"/>
          </w:tcPr>
          <w:p>
            <w:pPr>
              <w:pStyle w:val="5"/>
              <w:adjustRightInd w:val="0"/>
              <w:snapToGrid w:val="0"/>
              <w:spacing w:after="0" w:line="312" w:lineRule="auto"/>
              <w:jc w:val="center"/>
              <w:rPr>
                <w:rFonts w:cs="宋体"/>
                <w:b/>
                <w:bCs/>
                <w:szCs w:val="21"/>
              </w:rPr>
            </w:pPr>
            <w:r>
              <w:rPr>
                <w:rFonts w:hint="eastAsia" w:cs="宋体"/>
                <w:b/>
                <w:bCs/>
                <w:szCs w:val="21"/>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restar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平时成绩</w:t>
            </w:r>
          </w:p>
        </w:tc>
        <w:tc>
          <w:tcPr>
            <w:tcW w:w="534" w:type="pct"/>
            <w:vMerge w:val="restar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上课回答问题，提问情况：酌情给分；共2分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continue"/>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534" w:type="pct"/>
            <w:vMerge w:val="continue"/>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文献阅读和口头报告：8分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期中考试</w:t>
            </w:r>
          </w:p>
        </w:tc>
        <w:tc>
          <w:tcPr>
            <w:tcW w:w="534" w:type="pc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考核前四章教学内容掌握情况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期末考试</w:t>
            </w:r>
          </w:p>
        </w:tc>
        <w:tc>
          <w:tcPr>
            <w:tcW w:w="534" w:type="pc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56</w:t>
            </w: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全部教学内容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restar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课程实验</w:t>
            </w:r>
          </w:p>
        </w:tc>
        <w:tc>
          <w:tcPr>
            <w:tcW w:w="534" w:type="pct"/>
            <w:vMerge w:val="restart"/>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24</w:t>
            </w: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实验的规范性总共5分，包括是否有迟到现象、是否有做完实验不整理现象，是否有不穿白大褂直接进实验室等现象，发现一次扣1分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continue"/>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534" w:type="pct"/>
            <w:vMerge w:val="continue"/>
            <w:vAlign w:val="center"/>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8个实验，每个实验过程与完成情况：每个实验2分；共16分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continue"/>
          </w:tcPr>
          <w:p>
            <w:pPr>
              <w:pStyle w:val="5"/>
              <w:adjustRightInd w:val="0"/>
              <w:snapToGrid w:val="0"/>
              <w:spacing w:after="0" w:line="312" w:lineRule="auto"/>
              <w:rPr>
                <w:rFonts w:hint="eastAsia" w:ascii="Times New Roman" w:hAnsi="Times New Roman" w:eastAsia="宋体" w:cs="Times New Roman"/>
                <w:kern w:val="2"/>
                <w:sz w:val="21"/>
                <w:szCs w:val="21"/>
                <w:lang w:val="en-US" w:eastAsia="zh-CN" w:bidi="ar-SA"/>
              </w:rPr>
            </w:pPr>
          </w:p>
        </w:tc>
        <w:tc>
          <w:tcPr>
            <w:tcW w:w="534" w:type="pct"/>
            <w:vMerge w:val="continue"/>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3620" w:type="pct"/>
          </w:tcPr>
          <w:p>
            <w:pPr>
              <w:tabs>
                <w:tab w:val="left" w:pos="1440"/>
              </w:tabs>
              <w:adjustRightInd w:val="0"/>
              <w:snapToGrid w:val="0"/>
              <w:spacing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实验报告：8个标准规范要求的实验报告，每个0.5分；共4分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Merge w:val="continue"/>
          </w:tcPr>
          <w:p>
            <w:pPr>
              <w:pStyle w:val="5"/>
              <w:adjustRightInd w:val="0"/>
              <w:snapToGrid w:val="0"/>
              <w:spacing w:after="0" w:line="312" w:lineRule="auto"/>
              <w:rPr>
                <w:rFonts w:hint="eastAsia" w:ascii="Times New Roman" w:hAnsi="Times New Roman" w:eastAsia="宋体" w:cs="Times New Roman"/>
                <w:kern w:val="2"/>
                <w:sz w:val="21"/>
                <w:szCs w:val="21"/>
                <w:lang w:val="en-US" w:eastAsia="zh-CN" w:bidi="ar-SA"/>
              </w:rPr>
            </w:pPr>
          </w:p>
        </w:tc>
        <w:tc>
          <w:tcPr>
            <w:tcW w:w="534" w:type="pct"/>
            <w:vMerge w:val="continue"/>
          </w:tcPr>
          <w:p>
            <w:pPr>
              <w:pStyle w:val="5"/>
              <w:adjustRightInd w:val="0"/>
              <w:snapToGrid w:val="0"/>
              <w:spacing w:after="0" w:line="312" w:lineRule="auto"/>
              <w:jc w:val="center"/>
              <w:rPr>
                <w:rFonts w:hint="eastAsia" w:ascii="Times New Roman" w:hAnsi="Times New Roman" w:eastAsia="宋体" w:cs="Times New Roman"/>
                <w:kern w:val="2"/>
                <w:sz w:val="21"/>
                <w:szCs w:val="21"/>
                <w:lang w:val="en-US" w:eastAsia="zh-CN" w:bidi="ar-SA"/>
              </w:rPr>
            </w:pPr>
          </w:p>
        </w:tc>
        <w:tc>
          <w:tcPr>
            <w:tcW w:w="3620" w:type="pct"/>
          </w:tcPr>
          <w:p>
            <w:pPr>
              <w:pStyle w:val="5"/>
              <w:adjustRightInd w:val="0"/>
              <w:snapToGrid w:val="0"/>
              <w:spacing w:after="0"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实验课后思考题：8次思考题，每个0.5分；共4分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pStyle w:val="5"/>
              <w:adjustRightInd w:val="0"/>
              <w:snapToGrid w:val="0"/>
              <w:spacing w:after="0" w:line="312"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注： 期末考试成绩低于50%分数，总评不能及格； 实验成绩低于25分的60%，总评不能及格。</w:t>
            </w:r>
          </w:p>
        </w:tc>
      </w:tr>
    </w:tbl>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24" w:name="_Toc2914"/>
      <w:r>
        <w:rPr>
          <w:rFonts w:hint="eastAsia"/>
          <w:b/>
          <w:bCs w:val="0"/>
          <w:sz w:val="24"/>
          <w:szCs w:val="24"/>
        </w:rPr>
        <w:t>教学内容与学时安排</w:t>
      </w:r>
      <w:bookmarkEnd w:id="24"/>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5" w:name="_Toc23311"/>
      <w:r>
        <w:rPr>
          <w:rFonts w:hint="eastAsia" w:ascii="Times New Roman" w:hAnsi="Times New Roman" w:eastAsia="宋体" w:cs="Times New Roman"/>
          <w:kern w:val="0"/>
          <w:sz w:val="21"/>
          <w:szCs w:val="21"/>
          <w:lang w:val="en-US" w:eastAsia="zh-CN"/>
        </w:rPr>
        <w:t>5.1理论教学内容与安排</w:t>
      </w:r>
      <w:bookmarkEnd w:id="25"/>
    </w:p>
    <w:p>
      <w:pPr>
        <w:spacing w:line="360" w:lineRule="auto"/>
        <w:jc w:val="left"/>
        <w:rPr>
          <w:rFonts w:ascii="宋体" w:hAnsi="宋体"/>
        </w:rPr>
      </w:pPr>
      <w:r>
        <w:rPr>
          <w:rFonts w:hint="eastAsia" w:ascii="宋体" w:hAnsi="宋体"/>
          <w:lang w:eastAsia="zh-CN"/>
        </w:rPr>
        <w:t>（</w:t>
      </w:r>
      <w:r>
        <w:rPr>
          <w:rFonts w:hint="eastAsia" w:ascii="宋体" w:hAnsi="宋体"/>
        </w:rPr>
        <w:t>每周2.0学时，16周，共32学时）具体内容见如下：</w:t>
      </w:r>
    </w:p>
    <w:tbl>
      <w:tblPr>
        <w:tblStyle w:val="14"/>
        <w:tblW w:w="8404" w:type="dxa"/>
        <w:tblInd w:w="0" w:type="dxa"/>
        <w:tblLayout w:type="autofit"/>
        <w:tblCellMar>
          <w:top w:w="15" w:type="dxa"/>
          <w:left w:w="15" w:type="dxa"/>
          <w:bottom w:w="15" w:type="dxa"/>
          <w:right w:w="15" w:type="dxa"/>
        </w:tblCellMar>
      </w:tblPr>
      <w:tblGrid>
        <w:gridCol w:w="1126"/>
        <w:gridCol w:w="567"/>
        <w:gridCol w:w="1599"/>
        <w:gridCol w:w="2535"/>
        <w:gridCol w:w="843"/>
        <w:gridCol w:w="1734"/>
      </w:tblGrid>
      <w:tr>
        <w:tblPrEx>
          <w:tblCellMar>
            <w:top w:w="15" w:type="dxa"/>
            <w:left w:w="15" w:type="dxa"/>
            <w:bottom w:w="15" w:type="dxa"/>
            <w:right w:w="15" w:type="dxa"/>
          </w:tblCellMar>
        </w:tblPrEx>
        <w:tc>
          <w:tcPr>
            <w:tcW w:w="112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教学模块</w:t>
            </w:r>
          </w:p>
        </w:tc>
        <w:tc>
          <w:tcPr>
            <w:tcW w:w="2166"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教学单元</w:t>
            </w:r>
          </w:p>
        </w:tc>
        <w:tc>
          <w:tcPr>
            <w:tcW w:w="253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内容提要</w:t>
            </w:r>
          </w:p>
        </w:tc>
        <w:tc>
          <w:tcPr>
            <w:tcW w:w="84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学时数</w:t>
            </w:r>
          </w:p>
        </w:tc>
        <w:tc>
          <w:tcPr>
            <w:tcW w:w="1734"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授课方式和相关环节</w:t>
            </w: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第1章 课程概况与绪论</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课程概况</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课程教学要求与目标，课程基本内容与安排，实验要求和安排，课程教学改革方法，考核和成绩评定方法，课程网站介绍等。</w:t>
            </w:r>
          </w:p>
        </w:tc>
        <w:tc>
          <w:tcPr>
            <w:tcW w:w="843"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734"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课程概况介绍和网站演示</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海水分析化学概述</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介绍海水分析化学的基本内容和涵盖范围；海水分析的对象；海水的特性及对分析方法的特殊要求； 海水分析化学测试方式；海洋化学研究的规范性</w:t>
            </w:r>
            <w:r>
              <w:rPr>
                <w:rFonts w:hint="eastAsia" w:ascii="宋体" w:hAnsi="宋体" w:eastAsia="宋体" w:cs="宋体"/>
                <w:sz w:val="21"/>
                <w:szCs w:val="21"/>
                <w:lang w:eastAsia="zh-CN"/>
              </w:rPr>
              <w:t>；</w:t>
            </w:r>
            <w:r>
              <w:rPr>
                <w:rFonts w:hint="eastAsia" w:ascii="宋体" w:hAnsi="宋体" w:eastAsia="宋体" w:cs="宋体"/>
                <w:sz w:val="21"/>
                <w:szCs w:val="21"/>
              </w:rPr>
              <w:t>海水分析化学的发展；我国的海水分析化学。</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海水分析化学与前序课程和后续课程关系的概述</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介绍海水分析化学的前序支撑课程及在学科体系中的目标定位及作用；介绍海水分析化学的科研中的作用及研究意义。</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第2章</w:t>
            </w: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样品的预处理</w:t>
            </w: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采样器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采样器的种类及应用特点。</w:t>
            </w:r>
          </w:p>
        </w:tc>
        <w:tc>
          <w:tcPr>
            <w:tcW w:w="843"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海水样品的过滤</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为取得具有代表性的样品，过滤操作的必要性及缺陷；过滤的广义规范；各种过滤器、过滤膜以及过滤方法。</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853"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海水样品的贮存</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海水样品对贮存的普适性要求及特殊要求。</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第3章</w:t>
            </w: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海水盐度和氯度的测定</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海水盐度和氯度的定义</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盐度和氯度的定义；基于氯度和基于电导法测量盐度的演变历史。</w:t>
            </w:r>
          </w:p>
        </w:tc>
        <w:tc>
          <w:tcPr>
            <w:tcW w:w="843"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1.9</w:t>
            </w:r>
          </w:p>
        </w:tc>
        <w:tc>
          <w:tcPr>
            <w:tcW w:w="1734"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第1次实验+实验报告+课后作业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盐度的分布在海洋学上的意义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盐度的测量在海洋学上的意义以及对盐度测量精度和准度的要求。</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 xml:space="preserve">盐度的测量方法与相关测量原理 </w:t>
            </w:r>
          </w:p>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重量法的原理和方法缺陷；氯度法的原理和标准的建立；电导率法的原理、检测标准和与氯度法测量盐度之间的转换。</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 xml:space="preserve">氯度的测量方法及相关测量原理 </w:t>
            </w:r>
          </w:p>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Mohr-Knudsen化学法滴定氯度和Fajans化学法滴定氯度的原理与各自的优缺点。</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1730"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599"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电导率测盐度中温度和压力对电导率的修正</w:t>
            </w:r>
          </w:p>
        </w:tc>
        <w:tc>
          <w:tcPr>
            <w:tcW w:w="2535" w:type="dxa"/>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实际测量中温度和压力的影响以及修正原理。</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76"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阅读海水中电导率和使用盐度、绝对盐度之间的转换关系</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 xml:space="preserve">A model for predicting changes in the electrical conductivity, practical salinity, and absolute salinity of seawater due to variations in relative chemical composition </w:t>
            </w:r>
          </w:p>
        </w:tc>
        <w:tc>
          <w:tcPr>
            <w:tcW w:w="843"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0.1</w:t>
            </w:r>
          </w:p>
        </w:tc>
        <w:tc>
          <w:tcPr>
            <w:tcW w:w="1734"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学生自主学习并通过小组报告形式递交ppt并在课堂中进行讲解，讨论。</w:t>
            </w:r>
          </w:p>
        </w:tc>
      </w:tr>
      <w:tr>
        <w:tblPrEx>
          <w:tblCellMar>
            <w:top w:w="15" w:type="dxa"/>
            <w:left w:w="15" w:type="dxa"/>
            <w:bottom w:w="15" w:type="dxa"/>
            <w:right w:w="15" w:type="dxa"/>
          </w:tblCellMar>
        </w:tblPrEx>
        <w:tc>
          <w:tcPr>
            <w:tcW w:w="1126" w:type="dxa"/>
            <w:vMerge w:val="restart"/>
            <w:tcBorders>
              <w:top w:val="nil"/>
              <w:left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第4章 海水中的溶解氧和化学耗氧量</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溶解氧的定义及在海洋学上的意义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海水中溶解氧的来源；溶解氧在各大洋的分布特征及意义。</w:t>
            </w:r>
          </w:p>
        </w:tc>
        <w:tc>
          <w:tcPr>
            <w:tcW w:w="843"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4.4</w:t>
            </w:r>
          </w:p>
          <w:p>
            <w:pPr>
              <w:bidi w:val="0"/>
              <w:jc w:val="center"/>
              <w:rPr>
                <w:rFonts w:hint="eastAsia" w:ascii="宋体" w:hAnsi="宋体" w:eastAsia="宋体" w:cs="宋体"/>
                <w:sz w:val="21"/>
                <w:szCs w:val="21"/>
              </w:rPr>
            </w:pP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第2次实验+实验报告+课后作业</w:t>
            </w:r>
          </w:p>
          <w:p>
            <w:pPr>
              <w:bidi w:val="0"/>
              <w:rPr>
                <w:rFonts w:hint="eastAsia" w:ascii="宋体" w:hAnsi="宋体" w:eastAsia="宋体" w:cs="宋体"/>
                <w:sz w:val="21"/>
                <w:szCs w:val="21"/>
              </w:rPr>
            </w:pPr>
            <w:r>
              <w:rPr>
                <w:rFonts w:hint="eastAsia" w:ascii="宋体" w:hAnsi="宋体" w:eastAsia="宋体" w:cs="宋体"/>
                <w:sz w:val="21"/>
                <w:szCs w:val="21"/>
              </w:rPr>
              <w:t>第3次实验+实验报告</w:t>
            </w: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溶解氧的测量方法及相关测量原理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Winkler method碘量法的测量原理及主要优点和主要缺点。</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误差分析</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碘量法测量溶解氧可能带来误差的环节以及预防措施，包括采样、封装、测量的总过程。</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碘量法测量溶解氧的方法改进</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Winkler方法的主要缺点；滴定终点的其它判定方法。</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其它测量溶解氧的原理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溶解氧传感器，包括光学法和极谱法；气相色谱法。</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海水中COD测定</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COD的定义；COD和BOD定义的差别和测量方法。</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水体中测量COD的常规方法及对比</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重铬酸钾氧化法，酸性高锰酸钾氧化法，碱性高锰酸钾氧化法。</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847" w:hRule="atLeast"/>
        </w:trPr>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right w:val="single" w:color="auto" w:sz="6" w:space="0"/>
            </w:tcBorders>
            <w:tcMar>
              <w:top w:w="0" w:type="dxa"/>
              <w:left w:w="105" w:type="dxa"/>
              <w:bottom w:w="0" w:type="dxa"/>
              <w:right w:w="105" w:type="dxa"/>
            </w:tcMa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599"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碱性高锰酸钾测量COD和碘量法测量溶解氧方法之间的异同分析</w:t>
            </w:r>
          </w:p>
        </w:tc>
        <w:tc>
          <w:tcPr>
            <w:tcW w:w="2535" w:type="dxa"/>
            <w:tcBorders>
              <w:top w:val="nil"/>
              <w:left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2142" w:hRule="atLeast"/>
        </w:trPr>
        <w:tc>
          <w:tcPr>
            <w:tcW w:w="1126" w:type="dxa"/>
            <w:vMerge w:val="continue"/>
            <w:tcBorders>
              <w:left w:val="single" w:color="auto" w:sz="6" w:space="0"/>
              <w:bottom w:val="nil"/>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bottom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1599" w:type="dxa"/>
            <w:vMerge w:val="restart"/>
            <w:tcBorders>
              <w:top w:val="nil"/>
              <w:left w:val="nil"/>
              <w:bottom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阅读文献“基于Winkler方法能实现船载实时测量分析的分析方法”</w:t>
            </w:r>
          </w:p>
        </w:tc>
        <w:tc>
          <w:tcPr>
            <w:tcW w:w="2535" w:type="dxa"/>
            <w:vMerge w:val="restart"/>
            <w:tcBorders>
              <w:top w:val="nil"/>
              <w:left w:val="nil"/>
              <w:bottom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Sequential injection analysis for automation of the Winkler methodology, with real-time SIMPLEX optimization and shipboard application</w:t>
            </w:r>
          </w:p>
          <w:p>
            <w:pPr>
              <w:bidi w:val="0"/>
              <w:rPr>
                <w:rFonts w:hint="eastAsia" w:ascii="宋体" w:hAnsi="宋体" w:eastAsia="宋体" w:cs="宋体"/>
                <w:sz w:val="21"/>
                <w:szCs w:val="21"/>
              </w:rPr>
            </w:pPr>
            <w:r>
              <w:rPr>
                <w:rFonts w:hint="eastAsia" w:ascii="宋体" w:hAnsi="宋体" w:eastAsia="宋体" w:cs="宋体"/>
                <w:sz w:val="21"/>
                <w:szCs w:val="21"/>
              </w:rPr>
              <w:t>Development of Chemical Oxygen</w:t>
            </w:r>
          </w:p>
          <w:p>
            <w:pPr>
              <w:bidi w:val="0"/>
              <w:rPr>
                <w:rFonts w:hint="eastAsia" w:ascii="宋体" w:hAnsi="宋体" w:eastAsia="宋体" w:cs="宋体"/>
                <w:sz w:val="21"/>
                <w:szCs w:val="21"/>
              </w:rPr>
            </w:pPr>
            <w:r>
              <w:rPr>
                <w:rFonts w:hint="eastAsia" w:ascii="宋体" w:hAnsi="宋体" w:eastAsia="宋体" w:cs="宋体"/>
                <w:sz w:val="21"/>
                <w:szCs w:val="21"/>
              </w:rPr>
              <w:t>Demand On-Line Monitoring System</w:t>
            </w:r>
          </w:p>
          <w:p>
            <w:pPr>
              <w:bidi w:val="0"/>
              <w:rPr>
                <w:rFonts w:hint="eastAsia" w:ascii="宋体" w:hAnsi="宋体" w:eastAsia="宋体" w:cs="宋体"/>
                <w:sz w:val="21"/>
                <w:szCs w:val="21"/>
              </w:rPr>
            </w:pPr>
            <w:r>
              <w:rPr>
                <w:rFonts w:hint="eastAsia" w:ascii="宋体" w:hAnsi="宋体" w:eastAsia="宋体" w:cs="宋体"/>
                <w:sz w:val="21"/>
                <w:szCs w:val="21"/>
              </w:rPr>
              <w:t>Based on a Photoelectrochemical</w:t>
            </w:r>
          </w:p>
          <w:p>
            <w:pPr>
              <w:bidi w:val="0"/>
              <w:rPr>
                <w:rFonts w:hint="eastAsia" w:ascii="宋体" w:hAnsi="宋体" w:eastAsia="宋体" w:cs="宋体"/>
                <w:sz w:val="21"/>
                <w:szCs w:val="21"/>
              </w:rPr>
            </w:pPr>
            <w:r>
              <w:rPr>
                <w:rFonts w:hint="eastAsia" w:ascii="宋体" w:hAnsi="宋体" w:eastAsia="宋体" w:cs="宋体"/>
                <w:sz w:val="21"/>
                <w:szCs w:val="21"/>
              </w:rPr>
              <w:t>Degradation Principle</w:t>
            </w:r>
          </w:p>
        </w:tc>
        <w:tc>
          <w:tcPr>
            <w:tcW w:w="843" w:type="dxa"/>
            <w:vMerge w:val="restart"/>
            <w:tcBorders>
              <w:top w:val="nil"/>
              <w:left w:val="nil"/>
              <w:bottom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自学</w:t>
            </w:r>
          </w:p>
          <w:p>
            <w:pPr>
              <w:bidi w:val="0"/>
              <w:jc w:val="center"/>
              <w:rPr>
                <w:rFonts w:hint="eastAsia" w:ascii="宋体" w:hAnsi="宋体" w:eastAsia="宋体" w:cs="宋体"/>
                <w:sz w:val="21"/>
                <w:szCs w:val="21"/>
              </w:rPr>
            </w:pPr>
            <w:r>
              <w:rPr>
                <w:rFonts w:hint="eastAsia" w:ascii="宋体" w:hAnsi="宋体" w:eastAsia="宋体" w:cs="宋体"/>
                <w:sz w:val="21"/>
                <w:szCs w:val="21"/>
              </w:rPr>
              <w:t>0.1</w:t>
            </w:r>
          </w:p>
        </w:tc>
        <w:tc>
          <w:tcPr>
            <w:tcW w:w="1734" w:type="dxa"/>
            <w:vMerge w:val="restart"/>
            <w:tcBorders>
              <w:top w:val="nil"/>
              <w:left w:val="nil"/>
              <w:bottom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学生自主学习并通过小组报告形式递交ppt并在课堂中进行讲解，讨论。</w:t>
            </w:r>
          </w:p>
        </w:tc>
      </w:tr>
      <w:tr>
        <w:tblPrEx>
          <w:tblCellMar>
            <w:top w:w="15" w:type="dxa"/>
            <w:left w:w="15" w:type="dxa"/>
            <w:bottom w:w="15" w:type="dxa"/>
            <w:right w:w="15" w:type="dxa"/>
          </w:tblCellMar>
        </w:tblPrEx>
        <w:tc>
          <w:tcPr>
            <w:tcW w:w="1126" w:type="dxa"/>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vMerge w:val="continue"/>
            <w:tcBorders>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第5章</w:t>
            </w: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海水pH值的测定</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测量pH值在海洋学研究上的意义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水系统测量pH的重要意义；海水中缓冲pH的主要成分。</w:t>
            </w:r>
          </w:p>
        </w:tc>
        <w:tc>
          <w:tcPr>
            <w:tcW w:w="843"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第4次实验+作业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影响海水pH值测定的因素</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比较海水系统和一般水系统的差别，分析影响海水pH值测定的主要因素及影响机理。</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pH值的定义及标度</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海水的高盐度对测量pH的影响以及形成的标度。四种标度的区别及定义。</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862"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pH值的测量方法及相关测量原理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电极电位法和紫外分光光度法测量pH的原理，不同标度在测量方法上的具体体现及其中的原理。</w:t>
            </w: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第6章</w:t>
            </w:r>
          </w:p>
          <w:p>
            <w:pPr>
              <w:bidi w:val="0"/>
              <w:jc w:val="center"/>
              <w:rPr>
                <w:rFonts w:hint="eastAsia" w:ascii="宋体" w:hAnsi="宋体" w:eastAsia="宋体" w:cs="宋体"/>
                <w:b/>
                <w:bCs/>
                <w:sz w:val="21"/>
                <w:szCs w:val="21"/>
              </w:rPr>
            </w:pPr>
            <w:r>
              <w:rPr>
                <w:rFonts w:hint="eastAsia" w:ascii="宋体" w:hAnsi="宋体" w:eastAsia="宋体" w:cs="宋体"/>
                <w:b/>
                <w:bCs/>
                <w:sz w:val="21"/>
                <w:szCs w:val="21"/>
              </w:rPr>
              <w:t>海水总碱度、总无机碳和pCO2的测定</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测量海水碳酸盐系统的意义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海洋碳循环与全球温室效应之间的关系。海洋碳储量与减缓温室效应之间的关系。</w:t>
            </w:r>
          </w:p>
        </w:tc>
        <w:tc>
          <w:tcPr>
            <w:tcW w:w="843"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4.4</w:t>
            </w: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第5次实验+作业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总碱度的定义及地球化学性质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总碱度的两种定义以及在地球化学中的重要作用。</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测量海水碱度的难点以及对应发展出来的测量方法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海水中总碱度的定义与测量总碱度难点之间的关系。碱度的直接法和间接法。间接包括回滴法，碘量法，Gran电位法和电极法。</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误差分析</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多种测量碱度方法的误差来源及误差分析。</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1284"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海水中总无机碳的定义以及地球化学性质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了解海水中总无机碳的定义以及存在形式；海洋中导致总无机碳的变化可能原因分析。</w:t>
            </w:r>
          </w:p>
        </w:tc>
        <w:tc>
          <w:tcPr>
            <w:tcW w:w="843" w:type="dxa"/>
            <w:vMerge w:val="continue"/>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海水总无机碳的测定方法及测量原理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Gran电位法，库伦法，红外法的测量总无机碳的原理及测量过程。</w:t>
            </w:r>
          </w:p>
        </w:tc>
        <w:tc>
          <w:tcPr>
            <w:tcW w:w="843" w:type="dxa"/>
            <w:vMerge w:val="restart"/>
            <w:tcBorders>
              <w:top w:val="nil"/>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标准品在测量中的作用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为测准DIC、TA参数，标准品的作用。</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测量pCO2参数的意义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海水分析中直接测量pCO2的意义。</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pCO2参数的定义及测量原理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红外法和库伦法测量pCO2的方法与测量总无机碳方法的原理及测量过程比较</w:t>
            </w: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10</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在线测量碱度和溶解无机碳的方法进展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Autonomous in Situ Measurements of Seawater Alkalinity和In Situ Spectrophotometric Measurement of Dissolved Inorganic Carbon in Seawater“</w:t>
            </w:r>
          </w:p>
        </w:tc>
        <w:tc>
          <w:tcPr>
            <w:tcW w:w="843" w:type="dxa"/>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自主学习0.1</w:t>
            </w:r>
          </w:p>
        </w:tc>
        <w:tc>
          <w:tcPr>
            <w:tcW w:w="1734"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学生自主学习并通过小组报告形式递交ppt并在课堂中进行讲解，讨论。</w:t>
            </w: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第7章 海水中营养元素的测定-磷酸盐</w:t>
            </w:r>
          </w:p>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营养盐元素的定义及组成</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海水中营养要素的定义，海水中营养要素定义同陆地系统的差异，营养盐中的痕量元素与常量元素。</w:t>
            </w:r>
          </w:p>
        </w:tc>
        <w:tc>
          <w:tcPr>
            <w:tcW w:w="843"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4.4</w:t>
            </w:r>
          </w:p>
        </w:tc>
        <w:tc>
          <w:tcPr>
            <w:tcW w:w="1734"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第6次实验+作业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海水中的磷酸盐组成及测定方法</w:t>
            </w:r>
          </w:p>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海水中的磷酸盐组成及其中可测量的部分；海水中磷酸盐的分布及形成机理。氮限制和磷限制。</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1599"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紫外吸收光谱的原理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紫外吸收光谱原理在测量磷酸盐过程中的应用，和相关的测量灵敏度、线性范围，量程的概念。</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磷钼黄和磷钼蓝法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磷钼黄和磷钼蓝法方法的原理；海水中的用磷钼蓝法的原因；磷钼黄转换成磷钼蓝法的关键。</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1286"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599"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磷钼蓝法测量海水活性磷酸盐的过程及标准品的使用</w:t>
            </w:r>
          </w:p>
        </w:tc>
        <w:tc>
          <w:tcPr>
            <w:tcW w:w="2535" w:type="dxa"/>
            <w:tcBorders>
              <w:top w:val="nil"/>
              <w:left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测量过程，标准品的使用以及干扰元素对测量结果的可能影响及影响机理。超低含量的磷酸盐的测量原理。</w:t>
            </w: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tcBorders>
              <w:top w:val="nil"/>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2765"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bottom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599" w:type="dxa"/>
            <w:vMerge w:val="restart"/>
            <w:tcBorders>
              <w:top w:val="nil"/>
              <w:left w:val="nil"/>
              <w:bottom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阅读文献-高精度磷酸盐的测量方法和磷酸盐测量在海洋科学研究中的应用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阅读文献“Role of Fe(III), Phosphate, Dissolved Organic Matter, and Nitrate during the Photodegradation of Domoic Acid in the Marine Environment”和 “A simple and cost-effective manual solid phase extraction method for the determination of nanomolar dissolved reactive phosphorus in aqueous samples”</w:t>
            </w:r>
          </w:p>
        </w:tc>
        <w:tc>
          <w:tcPr>
            <w:tcW w:w="843" w:type="dxa"/>
            <w:vMerge w:val="restart"/>
            <w:tcBorders>
              <w:top w:val="nil"/>
              <w:left w:val="nil"/>
              <w:bottom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自主学习0.1</w:t>
            </w:r>
          </w:p>
        </w:tc>
        <w:tc>
          <w:tcPr>
            <w:tcW w:w="1734" w:type="dxa"/>
            <w:vMerge w:val="restart"/>
            <w:tcBorders>
              <w:top w:val="nil"/>
              <w:left w:val="nil"/>
              <w:bottom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学生自主学习并通过小组报告形式递交ppt并在课堂中进行讲解，讨论。</w:t>
            </w: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第8章 海水中营养元素的测定-硅酸盐</w:t>
            </w:r>
          </w:p>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海水中的硅酸盐组成及测定方法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海水中的硅酸盐组成及其中可测量的部分；海水中硅酸盐的分布及形成机理。</w:t>
            </w:r>
          </w:p>
        </w:tc>
        <w:tc>
          <w:tcPr>
            <w:tcW w:w="843"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p>
            <w:pPr>
              <w:bidi w:val="0"/>
              <w:jc w:val="center"/>
              <w:rPr>
                <w:rFonts w:hint="eastAsia" w:ascii="宋体" w:hAnsi="宋体" w:eastAsia="宋体" w:cs="宋体"/>
                <w:sz w:val="21"/>
                <w:szCs w:val="21"/>
              </w:rPr>
            </w:pP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硅钼黄和硅钼蓝法</w:t>
            </w:r>
          </w:p>
        </w:tc>
        <w:tc>
          <w:tcPr>
            <w:tcW w:w="2535"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硅钼黄和硅钼蓝法方法的原理；海水中的用硅钼蓝法的原因；硅钼黄转换成硅钼蓝法的关键。</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硅钼蓝法测量海水活性硅酸盐的过程及标准品的使用</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测量过程，标准品的使用以及干扰元素对测量结果的可能影响及影响机理。</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2091"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vMerge w:val="restart"/>
            <w:tcBorders>
              <w:top w:val="nil"/>
              <w:left w:val="nil"/>
              <w:bottom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硅钼蓝和磷钼蓝法的区别</w:t>
            </w:r>
          </w:p>
        </w:tc>
        <w:tc>
          <w:tcPr>
            <w:tcW w:w="2535" w:type="dxa"/>
            <w:vMerge w:val="restart"/>
            <w:tcBorders>
              <w:top w:val="nil"/>
              <w:left w:val="nil"/>
              <w:bottom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测量硅酸盐和磷酸盐过程中两者互为干扰，测量原理类似的情况下如何屏蔽其干扰影响。</w:t>
            </w:r>
          </w:p>
        </w:tc>
        <w:tc>
          <w:tcPr>
            <w:tcW w:w="843" w:type="dxa"/>
            <w:vMerge w:val="continue"/>
            <w:tcBorders>
              <w:left w:val="nil"/>
              <w:bottom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rPr>
          <w:trHeight w:val="65" w:hRule="atLeast"/>
        </w:trPr>
        <w:tc>
          <w:tcPr>
            <w:tcW w:w="1126" w:type="dxa"/>
            <w:vMerge w:val="continue"/>
            <w:tcBorders>
              <w:top w:val="nil"/>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vMerge w:val="continue"/>
            <w:tcBorders>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第9章海水中营养元素的测定-氮元素</w:t>
            </w:r>
          </w:p>
          <w:p>
            <w:pPr>
              <w:bidi w:val="0"/>
              <w:jc w:val="center"/>
              <w:rPr>
                <w:rFonts w:hint="eastAsia" w:ascii="宋体" w:hAnsi="宋体" w:eastAsia="宋体" w:cs="宋体"/>
                <w:b/>
                <w:bCs/>
                <w:sz w:val="21"/>
                <w:szCs w:val="21"/>
              </w:rPr>
            </w:pPr>
          </w:p>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海水中的氮元素组成</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海洋中氮元素的变化及影响其变化的因素。</w:t>
            </w:r>
          </w:p>
        </w:tc>
        <w:tc>
          <w:tcPr>
            <w:tcW w:w="843"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4.9</w:t>
            </w:r>
          </w:p>
        </w:tc>
        <w:tc>
          <w:tcPr>
            <w:tcW w:w="1734"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第7次实验+作业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海水中氮循环的重要意义</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氮循环独立研究的意义以及与碳循环之间的关系。</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海水中可测量的氮元素</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三种主要氮元素之间的相互关系以及对海洋生态环境的影响。</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海水中亚硝酸盐的测量原理及方法的优点</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国标亚硝酸盐的测量方法，结合紫外分光光度法原理分析该方法优点。</w:t>
            </w:r>
          </w:p>
        </w:tc>
        <w:tc>
          <w:tcPr>
            <w:tcW w:w="843" w:type="dxa"/>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海水中硝酸盐的测量方法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硝酸盐测量方法的演变以及所依据原理的变化。硝酸盐与亚硝酸盐之间的测量关系。</w:t>
            </w:r>
          </w:p>
        </w:tc>
        <w:tc>
          <w:tcPr>
            <w:tcW w:w="843" w:type="dxa"/>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海水中对测量硝酸盐的干扰因素</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测量方法的难点，影响测量准确度的主要机制，及解决措施。</w:t>
            </w:r>
          </w:p>
        </w:tc>
        <w:tc>
          <w:tcPr>
            <w:tcW w:w="843" w:type="dxa"/>
            <w:tcBorders>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海水中铵盐的测量原理</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测量方法的难点，影响测量准确度的主要机制，及解决措施。</w:t>
            </w:r>
          </w:p>
        </w:tc>
        <w:tc>
          <w:tcPr>
            <w:tcW w:w="843" w:type="dxa"/>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总氮的测量方法</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测量方法的难点，影响测量准确度的主要机制，及解决措施。</w:t>
            </w:r>
          </w:p>
        </w:tc>
        <w:tc>
          <w:tcPr>
            <w:tcW w:w="843" w:type="dxa"/>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65" w:hRule="atLeast"/>
        </w:trPr>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9</w:t>
            </w:r>
          </w:p>
        </w:tc>
        <w:tc>
          <w:tcPr>
            <w:tcW w:w="1599"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阅读文献-芯片式硝酸盐和亚硝酸盐的测量方法</w:t>
            </w:r>
          </w:p>
        </w:tc>
        <w:tc>
          <w:tcPr>
            <w:tcW w:w="2535" w:type="dxa"/>
            <w:vMerge w:val="restart"/>
            <w:tcBorders>
              <w:top w:val="nil"/>
              <w:left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阅读文献“Lab-on-Chip Measurement of Nitrate and Nitrite for In Situ Analysis of Natural Waters“和</w:t>
            </w:r>
          </w:p>
          <w:p>
            <w:pPr>
              <w:bidi w:val="0"/>
              <w:rPr>
                <w:rFonts w:hint="eastAsia" w:ascii="宋体" w:hAnsi="宋体" w:eastAsia="宋体" w:cs="宋体"/>
                <w:sz w:val="21"/>
                <w:szCs w:val="21"/>
              </w:rPr>
            </w:pPr>
          </w:p>
        </w:tc>
        <w:tc>
          <w:tcPr>
            <w:tcW w:w="843" w:type="dxa"/>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vMerge w:val="restart"/>
            <w:tcBorders>
              <w:top w:val="nil"/>
              <w:left w:val="nil"/>
              <w:right w:val="single" w:color="auto" w:sz="6" w:space="0"/>
            </w:tcBorders>
            <w:vAlign w:val="center"/>
          </w:tcPr>
          <w:p>
            <w:pPr>
              <w:bidi w:val="0"/>
              <w:rPr>
                <w:rFonts w:hint="eastAsia" w:ascii="宋体" w:hAnsi="宋体" w:eastAsia="宋体" w:cs="宋体"/>
                <w:sz w:val="21"/>
                <w:szCs w:val="21"/>
              </w:rPr>
            </w:pPr>
            <w:r>
              <w:rPr>
                <w:rFonts w:hint="eastAsia" w:ascii="宋体" w:hAnsi="宋体" w:eastAsia="宋体" w:cs="宋体"/>
                <w:sz w:val="21"/>
                <w:szCs w:val="21"/>
              </w:rPr>
              <w:t>学生自主学习并通过小组报告形式递交ppt并在课堂中进行讲解，讨论。</w:t>
            </w:r>
          </w:p>
        </w:tc>
      </w:tr>
      <w:tr>
        <w:tblPrEx>
          <w:tblCellMar>
            <w:top w:w="15" w:type="dxa"/>
            <w:left w:w="15" w:type="dxa"/>
            <w:bottom w:w="15" w:type="dxa"/>
            <w:right w:w="15" w:type="dxa"/>
          </w:tblCellMar>
        </w:tblPrEx>
        <w:trPr>
          <w:trHeight w:val="1365" w:hRule="atLeast"/>
        </w:trPr>
        <w:tc>
          <w:tcPr>
            <w:tcW w:w="1126" w:type="dxa"/>
            <w:vMerge w:val="continue"/>
            <w:tcBorders>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vMerge w:val="continue"/>
            <w:tcBorders>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自主学习0.1</w:t>
            </w:r>
          </w:p>
        </w:tc>
        <w:tc>
          <w:tcPr>
            <w:tcW w:w="1734" w:type="dxa"/>
            <w:vMerge w:val="continue"/>
            <w:tcBorders>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restart"/>
            <w:tcBorders>
              <w:top w:val="nil"/>
              <w:left w:val="single" w:color="auto" w:sz="6" w:space="0"/>
              <w:right w:val="single" w:color="auto" w:sz="6" w:space="0"/>
            </w:tcBorders>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第10章海水中常量元素的测定（以Ca2+为例）</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海水中常量元素的组成</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海水中的常量元素的定义以及特点</w:t>
            </w:r>
          </w:p>
        </w:tc>
        <w:tc>
          <w:tcPr>
            <w:tcW w:w="843" w:type="dxa"/>
            <w:vMerge w:val="restart"/>
            <w:tcBorders>
              <w:left w:val="nil"/>
              <w:right w:val="single" w:color="auto"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734" w:type="dxa"/>
            <w:vMerge w:val="restart"/>
            <w:tcBorders>
              <w:top w:val="nil"/>
              <w:left w:val="nil"/>
              <w:right w:val="single" w:color="auto" w:sz="6" w:space="0"/>
            </w:tcBorders>
            <w:vAlign w:val="center"/>
          </w:tcPr>
          <w:p>
            <w:pPr>
              <w:bidi w:val="0"/>
              <w:rPr>
                <w:rFonts w:hint="eastAsia" w:ascii="宋体" w:hAnsi="宋体" w:eastAsia="宋体" w:cs="宋体"/>
                <w:sz w:val="21"/>
                <w:szCs w:val="21"/>
              </w:rPr>
            </w:pPr>
            <w:r>
              <w:rPr>
                <w:rFonts w:hint="eastAsia" w:ascii="宋体" w:hAnsi="宋体" w:eastAsia="宋体" w:cs="宋体"/>
                <w:sz w:val="21"/>
                <w:szCs w:val="21"/>
              </w:rPr>
              <w:t>课堂讲授</w:t>
            </w:r>
          </w:p>
          <w:p>
            <w:pPr>
              <w:bidi w:val="0"/>
              <w:rPr>
                <w:rFonts w:hint="eastAsia" w:ascii="宋体" w:hAnsi="宋体" w:eastAsia="宋体" w:cs="宋体"/>
                <w:sz w:val="21"/>
                <w:szCs w:val="21"/>
              </w:rPr>
            </w:pPr>
            <w:r>
              <w:rPr>
                <w:rFonts w:hint="eastAsia" w:ascii="宋体" w:hAnsi="宋体" w:eastAsia="宋体" w:cs="宋体"/>
                <w:sz w:val="21"/>
                <w:szCs w:val="21"/>
              </w:rPr>
              <w:t>第8次实验+作业</w:t>
            </w:r>
          </w:p>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海水中测量常量元素的意义及难点</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为什么需要测量常量元素，以及常量元素的测量难点</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1893" w:hRule="atLeast"/>
        </w:trPr>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以Ca2+为例说明测量Ca2+的方法变化过程</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为什么测量方法不断演进，各种方法的主要问题以及分别修正了前期方法的哪些方面</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rPr>
          <w:trHeight w:val="2163" w:hRule="atLeast"/>
        </w:trPr>
        <w:tc>
          <w:tcPr>
            <w:tcW w:w="1126" w:type="dxa"/>
            <w:vMerge w:val="continue"/>
            <w:tcBorders>
              <w:left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restart"/>
            <w:tcBorders>
              <w:top w:val="nil"/>
              <w:left w:val="nil"/>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4</w:t>
            </w:r>
          </w:p>
          <w:p>
            <w:pPr>
              <w:bidi w:val="0"/>
              <w:jc w:val="center"/>
              <w:rPr>
                <w:rFonts w:hint="eastAsia" w:ascii="宋体" w:hAnsi="宋体" w:eastAsia="宋体" w:cs="宋体"/>
                <w:b/>
                <w:bCs/>
                <w:sz w:val="21"/>
                <w:szCs w:val="21"/>
              </w:rPr>
            </w:pPr>
          </w:p>
        </w:tc>
        <w:tc>
          <w:tcPr>
            <w:tcW w:w="1599" w:type="dxa"/>
            <w:vMerge w:val="restart"/>
            <w:tcBorders>
              <w:top w:val="nil"/>
              <w:left w:val="nil"/>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现在测量Ca2+的常用方法、原理以及优缺点</w:t>
            </w:r>
          </w:p>
        </w:tc>
        <w:tc>
          <w:tcPr>
            <w:tcW w:w="2535" w:type="dxa"/>
            <w:vMerge w:val="restart"/>
            <w:tcBorders>
              <w:top w:val="nil"/>
              <w:left w:val="nil"/>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测量方法的难点，影响测量准确度的主要机制，及解决措施。</w:t>
            </w:r>
          </w:p>
        </w:tc>
        <w:tc>
          <w:tcPr>
            <w:tcW w:w="843" w:type="dxa"/>
            <w:vMerge w:val="continue"/>
            <w:tcBorders>
              <w:left w:val="nil"/>
              <w:right w:val="single" w:color="auto" w:sz="6" w:space="0"/>
            </w:tcBorders>
            <w:vAlign w:val="center"/>
          </w:tcPr>
          <w:p>
            <w:pPr>
              <w:bidi w:val="0"/>
              <w:jc w:val="center"/>
              <w:rPr>
                <w:rFonts w:hint="eastAsia" w:ascii="宋体" w:hAnsi="宋体" w:eastAsia="宋体" w:cs="宋体"/>
                <w:sz w:val="21"/>
                <w:szCs w:val="21"/>
              </w:rPr>
            </w:pPr>
          </w:p>
        </w:tc>
        <w:tc>
          <w:tcPr>
            <w:tcW w:w="1734" w:type="dxa"/>
            <w:vMerge w:val="continue"/>
            <w:tcBorders>
              <w:left w:val="nil"/>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vMerge w:val="continue"/>
            <w:tcBorders>
              <w:left w:val="single" w:color="auto" w:sz="6" w:space="0"/>
              <w:bottom w:val="single" w:color="auto" w:sz="6" w:space="0"/>
              <w:right w:val="single" w:color="auto" w:sz="6" w:space="0"/>
            </w:tcBorders>
            <w:vAlign w:val="center"/>
          </w:tcPr>
          <w:p>
            <w:pPr>
              <w:bidi w:val="0"/>
              <w:jc w:val="center"/>
              <w:rPr>
                <w:rFonts w:hint="eastAsia" w:ascii="宋体" w:hAnsi="宋体" w:eastAsia="宋体" w:cs="宋体"/>
                <w:b/>
                <w:bCs/>
                <w:sz w:val="21"/>
                <w:szCs w:val="21"/>
              </w:rPr>
            </w:pPr>
          </w:p>
        </w:tc>
        <w:tc>
          <w:tcPr>
            <w:tcW w:w="567"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vMerge w:val="continue"/>
            <w:tcBorders>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2535" w:type="dxa"/>
            <w:vMerge w:val="continue"/>
            <w:tcBorders>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p>
        </w:tc>
        <w:tc>
          <w:tcPr>
            <w:tcW w:w="843" w:type="dxa"/>
            <w:vMerge w:val="continue"/>
            <w:tcBorders>
              <w:left w:val="nil"/>
              <w:bottom w:val="single" w:color="auto" w:sz="6" w:space="0"/>
              <w:right w:val="single" w:color="auto" w:sz="6" w:space="0"/>
            </w:tcBorders>
            <w:vAlign w:val="center"/>
          </w:tcPr>
          <w:p>
            <w:pPr>
              <w:bidi w:val="0"/>
              <w:jc w:val="center"/>
              <w:rPr>
                <w:rFonts w:hint="eastAsia" w:ascii="宋体" w:hAnsi="宋体" w:eastAsia="宋体" w:cs="宋体"/>
                <w:sz w:val="21"/>
                <w:szCs w:val="21"/>
              </w:rPr>
            </w:pPr>
          </w:p>
        </w:tc>
        <w:tc>
          <w:tcPr>
            <w:tcW w:w="1734" w:type="dxa"/>
            <w:tcBorders>
              <w:top w:val="nil"/>
              <w:left w:val="nil"/>
              <w:bottom w:val="single" w:color="auto" w:sz="6" w:space="0"/>
              <w:right w:val="single" w:color="auto" w:sz="6" w:space="0"/>
            </w:tcBorders>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课程总结</w:t>
            </w: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b/>
                <w:bCs/>
                <w:sz w:val="21"/>
                <w:szCs w:val="21"/>
              </w:rPr>
            </w:pPr>
          </w:p>
        </w:tc>
        <w:tc>
          <w:tcPr>
            <w:tcW w:w="1599"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课程内容复习</w:t>
            </w:r>
          </w:p>
        </w:tc>
        <w:tc>
          <w:tcPr>
            <w:tcW w:w="2535" w:type="dxa"/>
            <w:tcBorders>
              <w:top w:val="nil"/>
              <w:left w:val="nil"/>
              <w:bottom w:val="single" w:color="auto" w:sz="6" w:space="0"/>
              <w:right w:val="single" w:color="auto" w:sz="6" w:space="0"/>
            </w:tcBorders>
            <w:tcMar>
              <w:top w:w="0" w:type="dxa"/>
              <w:left w:w="105" w:type="dxa"/>
              <w:bottom w:w="0" w:type="dxa"/>
              <w:right w:w="105" w:type="dxa"/>
            </w:tcMar>
          </w:tcPr>
          <w:p>
            <w:pPr>
              <w:bidi w:val="0"/>
              <w:rPr>
                <w:rFonts w:hint="eastAsia" w:ascii="宋体" w:hAnsi="宋体" w:eastAsia="宋体" w:cs="宋体"/>
                <w:sz w:val="21"/>
                <w:szCs w:val="21"/>
              </w:rPr>
            </w:pPr>
            <w:r>
              <w:rPr>
                <w:rFonts w:hint="eastAsia" w:ascii="宋体" w:hAnsi="宋体" w:eastAsia="宋体" w:cs="宋体"/>
                <w:sz w:val="21"/>
                <w:szCs w:val="21"/>
              </w:rPr>
              <w:t>将课程各章内容串起来，进行复习回顾</w:t>
            </w:r>
          </w:p>
        </w:tc>
        <w:tc>
          <w:tcPr>
            <w:tcW w:w="843"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1734"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r>
      <w:tr>
        <w:tblPrEx>
          <w:tblCellMar>
            <w:top w:w="15" w:type="dxa"/>
            <w:left w:w="15" w:type="dxa"/>
            <w:bottom w:w="15" w:type="dxa"/>
            <w:right w:w="15" w:type="dxa"/>
          </w:tblCellMar>
        </w:tblPrEx>
        <w:tc>
          <w:tcPr>
            <w:tcW w:w="112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567" w:type="dxa"/>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p>
        </w:tc>
        <w:tc>
          <w:tcPr>
            <w:tcW w:w="6711"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合计学时：31.5（教师讲授）+0.5（翻转课堂）</w:t>
            </w:r>
          </w:p>
        </w:tc>
      </w:tr>
    </w:tbl>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6" w:name="_Toc5356"/>
      <w:r>
        <w:rPr>
          <w:rFonts w:hint="eastAsia" w:ascii="Times New Roman" w:hAnsi="Times New Roman" w:eastAsia="宋体" w:cs="Times New Roman"/>
          <w:kern w:val="0"/>
          <w:sz w:val="21"/>
          <w:szCs w:val="21"/>
          <w:lang w:val="en-US" w:eastAsia="zh-CN"/>
        </w:rPr>
        <w:t>5.2实验内容与安排</w:t>
      </w:r>
      <w:bookmarkEnd w:id="26"/>
    </w:p>
    <w:p>
      <w:pPr>
        <w:numPr>
          <w:ilvl w:val="0"/>
          <w:numId w:val="0"/>
        </w:numPr>
        <w:spacing w:line="360" w:lineRule="auto"/>
        <w:ind w:left="480" w:leftChars="0"/>
        <w:jc w:val="left"/>
        <w:rPr>
          <w:rFonts w:ascii="宋体" w:hAnsi="宋体" w:eastAsia="宋体" w:cs="Times New Roman"/>
          <w:bCs/>
          <w:szCs w:val="21"/>
        </w:rPr>
      </w:pPr>
      <w:r>
        <w:rPr>
          <w:rFonts w:hint="eastAsia" w:ascii="宋体" w:hAnsi="宋体" w:eastAsia="宋体" w:cs="Times New Roman"/>
          <w:bCs/>
          <w:szCs w:val="21"/>
          <w:lang w:val="en-US" w:eastAsia="zh-CN"/>
        </w:rPr>
        <w:t>1）</w:t>
      </w:r>
      <w:r>
        <w:rPr>
          <w:rFonts w:hint="eastAsia" w:ascii="宋体" w:hAnsi="宋体" w:eastAsia="宋体" w:cs="Times New Roman"/>
          <w:bCs/>
          <w:szCs w:val="21"/>
        </w:rPr>
        <w:t>实验名称 实验室安全教育与化学耗氧量测定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实验学时</w:t>
      </w:r>
      <w:r>
        <w:rPr>
          <w:rFonts w:hint="eastAsia" w:ascii="宋体" w:hAnsi="宋体" w:eastAsia="宋体" w:cs="Times New Roman"/>
          <w:bCs/>
          <w:szCs w:val="21"/>
        </w:rPr>
        <w:t>4</w:t>
      </w:r>
      <w:r>
        <w:rPr>
          <w:rFonts w:ascii="宋体" w:hAnsi="宋体" w:eastAsia="宋体" w:cs="Times New Roman"/>
          <w:bCs/>
          <w:szCs w:val="21"/>
        </w:rPr>
        <w:t>学时</w:t>
      </w:r>
      <w:r>
        <w:rPr>
          <w:rFonts w:hint="eastAsia" w:ascii="宋体" w:hAnsi="宋体" w:eastAsia="宋体" w:cs="Times New Roman"/>
          <w:bCs/>
          <w:szCs w:val="21"/>
        </w:rPr>
        <w:t>，其中安全教育1学时，化学耗氧量测定</w:t>
      </w:r>
      <w:r>
        <w:rPr>
          <w:rFonts w:ascii="宋体" w:hAnsi="宋体" w:eastAsia="宋体" w:cs="Times New Roman"/>
          <w:bCs/>
          <w:szCs w:val="21"/>
        </w:rPr>
        <w:t>3</w:t>
      </w:r>
      <w:r>
        <w:rPr>
          <w:rFonts w:hint="eastAsia"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 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2）</w:t>
      </w:r>
      <w:r>
        <w:rPr>
          <w:rFonts w:hint="eastAsia" w:ascii="宋体" w:hAnsi="宋体"/>
          <w:bCs/>
          <w:szCs w:val="21"/>
        </w:rPr>
        <w:t>实验名称  海水中氯度和盐度的测定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实验学时</w:t>
      </w:r>
      <w:r>
        <w:rPr>
          <w:rFonts w:hint="eastAsia" w:ascii="宋体" w:hAnsi="宋体" w:eastAsia="宋体" w:cs="Times New Roman"/>
          <w:bCs/>
          <w:szCs w:val="21"/>
        </w:rPr>
        <w:t xml:space="preserve"> 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 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3）</w:t>
      </w:r>
      <w:r>
        <w:rPr>
          <w:rFonts w:hint="eastAsia" w:ascii="宋体" w:hAnsi="宋体"/>
          <w:bCs/>
          <w:szCs w:val="21"/>
        </w:rPr>
        <w:t>实验名称  海水中溶解氧的测定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实验学时</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 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实验名称  海水中pH值的测定（利用pH电极和分光光度法）</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 xml:space="preserve">实验学时 </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w:t>
      </w:r>
      <w:r>
        <w:rPr>
          <w:rFonts w:hint="eastAsia" w:ascii="宋体" w:hAnsi="宋体" w:eastAsia="宋体" w:cs="Times New Roman"/>
          <w:bCs/>
          <w:szCs w:val="21"/>
        </w:rPr>
        <w:t xml:space="preserve"> </w:t>
      </w:r>
      <w:r>
        <w:rPr>
          <w:rFonts w:ascii="宋体" w:hAnsi="宋体" w:eastAsia="宋体" w:cs="Times New Roman"/>
          <w:bCs/>
          <w:szCs w:val="21"/>
        </w:rPr>
        <w:t>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5）</w:t>
      </w:r>
      <w:r>
        <w:rPr>
          <w:rFonts w:hint="eastAsia" w:ascii="宋体" w:hAnsi="宋体"/>
          <w:bCs/>
          <w:szCs w:val="21"/>
        </w:rPr>
        <w:t>实验名称 海水中总碱度的测定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 xml:space="preserve">实验学时 </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w:t>
      </w:r>
      <w:r>
        <w:rPr>
          <w:rFonts w:hint="eastAsia" w:ascii="宋体" w:hAnsi="宋体" w:eastAsia="宋体" w:cs="Times New Roman"/>
          <w:bCs/>
          <w:szCs w:val="21"/>
        </w:rPr>
        <w:t xml:space="preserve"> </w:t>
      </w:r>
      <w:r>
        <w:rPr>
          <w:rFonts w:ascii="宋体" w:hAnsi="宋体" w:eastAsia="宋体" w:cs="Times New Roman"/>
          <w:bCs/>
          <w:szCs w:val="21"/>
        </w:rPr>
        <w:t>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6）</w:t>
      </w:r>
      <w:r>
        <w:rPr>
          <w:rFonts w:hint="eastAsia" w:ascii="宋体" w:hAnsi="宋体"/>
          <w:bCs/>
          <w:szCs w:val="21"/>
        </w:rPr>
        <w:t>实验名称  海水中可溶性磷酸盐的测定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 xml:space="preserve">实验学时 </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w:t>
      </w:r>
      <w:r>
        <w:rPr>
          <w:rFonts w:hint="eastAsia" w:ascii="宋体" w:hAnsi="宋体" w:eastAsia="宋体" w:cs="Times New Roman"/>
          <w:bCs/>
          <w:szCs w:val="21"/>
        </w:rPr>
        <w:t xml:space="preserve"> </w:t>
      </w:r>
      <w:r>
        <w:rPr>
          <w:rFonts w:ascii="宋体" w:hAnsi="宋体" w:eastAsia="宋体" w:cs="Times New Roman"/>
          <w:bCs/>
          <w:szCs w:val="21"/>
        </w:rPr>
        <w:t>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7）</w:t>
      </w:r>
      <w:r>
        <w:rPr>
          <w:rFonts w:hint="eastAsia" w:ascii="宋体" w:hAnsi="宋体"/>
          <w:bCs/>
          <w:szCs w:val="21"/>
        </w:rPr>
        <w:t>实验名称  海水中可溶性硝酸盐与亚硝酸盐的测定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 xml:space="preserve">实验学时 </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w:t>
      </w:r>
      <w:r>
        <w:rPr>
          <w:rFonts w:hint="eastAsia" w:ascii="宋体" w:hAnsi="宋体" w:eastAsia="宋体" w:cs="Times New Roman"/>
          <w:bCs/>
          <w:szCs w:val="21"/>
        </w:rPr>
        <w:t xml:space="preserve"> </w:t>
      </w:r>
      <w:r>
        <w:rPr>
          <w:rFonts w:ascii="宋体" w:hAnsi="宋体" w:eastAsia="宋体" w:cs="Times New Roman"/>
          <w:bCs/>
          <w:szCs w:val="21"/>
        </w:rPr>
        <w:t>基础实验</w:t>
      </w:r>
    </w:p>
    <w:p>
      <w:pPr>
        <w:pStyle w:val="20"/>
        <w:numPr>
          <w:ilvl w:val="0"/>
          <w:numId w:val="0"/>
        </w:numPr>
        <w:spacing w:line="360" w:lineRule="auto"/>
        <w:ind w:left="480" w:leftChars="0"/>
        <w:jc w:val="left"/>
        <w:rPr>
          <w:rFonts w:ascii="宋体" w:hAnsi="宋体"/>
          <w:bCs/>
          <w:szCs w:val="21"/>
        </w:rPr>
      </w:pPr>
      <w:r>
        <w:rPr>
          <w:rFonts w:hint="eastAsia" w:ascii="宋体" w:hAnsi="宋体"/>
          <w:bCs/>
          <w:szCs w:val="21"/>
          <w:lang w:val="en-US" w:eastAsia="zh-CN"/>
        </w:rPr>
        <w:t>8）</w:t>
      </w:r>
      <w:r>
        <w:rPr>
          <w:rFonts w:hint="eastAsia" w:ascii="宋体" w:hAnsi="宋体"/>
          <w:bCs/>
          <w:szCs w:val="21"/>
        </w:rPr>
        <w:t>实验名称 海水中Ca</w:t>
      </w:r>
      <w:r>
        <w:rPr>
          <w:rFonts w:ascii="宋体" w:hAnsi="宋体"/>
          <w:bCs/>
          <w:szCs w:val="21"/>
          <w:vertAlign w:val="superscript"/>
        </w:rPr>
        <w:t>2</w:t>
      </w:r>
      <w:r>
        <w:rPr>
          <w:rFonts w:hint="eastAsia" w:ascii="宋体" w:hAnsi="宋体"/>
          <w:bCs/>
          <w:szCs w:val="21"/>
          <w:vertAlign w:val="superscript"/>
        </w:rPr>
        <w:t>+</w:t>
      </w:r>
      <w:r>
        <w:rPr>
          <w:rFonts w:hint="eastAsia" w:ascii="宋体" w:hAnsi="宋体"/>
          <w:bCs/>
          <w:szCs w:val="21"/>
        </w:rPr>
        <w:t>离子的测定</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 xml:space="preserve">实验学时 </w:t>
      </w:r>
      <w:r>
        <w:rPr>
          <w:rFonts w:hint="eastAsia" w:ascii="宋体" w:hAnsi="宋体" w:eastAsia="宋体" w:cs="Times New Roman"/>
          <w:bCs/>
          <w:szCs w:val="21"/>
        </w:rPr>
        <w:t>4</w:t>
      </w:r>
      <w:r>
        <w:rPr>
          <w:rFonts w:ascii="宋体" w:hAnsi="宋体" w:eastAsia="宋体" w:cs="Times New Roman"/>
          <w:bCs/>
          <w:szCs w:val="21"/>
        </w:rPr>
        <w:t>学时</w:t>
      </w:r>
    </w:p>
    <w:p>
      <w:pPr>
        <w:spacing w:line="360" w:lineRule="auto"/>
        <w:ind w:firstLine="420" w:firstLineChars="200"/>
        <w:jc w:val="left"/>
        <w:rPr>
          <w:rFonts w:ascii="宋体" w:hAnsi="宋体" w:eastAsia="宋体" w:cs="Times New Roman"/>
          <w:bCs/>
          <w:szCs w:val="21"/>
        </w:rPr>
      </w:pPr>
      <w:r>
        <w:rPr>
          <w:rFonts w:ascii="宋体" w:hAnsi="宋体" w:eastAsia="宋体" w:cs="Times New Roman"/>
          <w:bCs/>
          <w:szCs w:val="21"/>
        </w:rPr>
        <w:t>实验类型</w:t>
      </w:r>
      <w:r>
        <w:rPr>
          <w:rFonts w:hint="eastAsia" w:ascii="宋体" w:hAnsi="宋体" w:eastAsia="宋体" w:cs="Times New Roman"/>
          <w:bCs/>
          <w:szCs w:val="21"/>
        </w:rPr>
        <w:t xml:space="preserve"> </w:t>
      </w:r>
      <w:r>
        <w:rPr>
          <w:rFonts w:ascii="宋体" w:hAnsi="宋体" w:eastAsia="宋体" w:cs="Times New Roman"/>
          <w:bCs/>
          <w:szCs w:val="21"/>
        </w:rPr>
        <w:t>基础实验</w:t>
      </w:r>
    </w:p>
    <w:p>
      <w:pPr>
        <w:pStyle w:val="4"/>
        <w:numPr>
          <w:ilvl w:val="0"/>
          <w:numId w:val="0"/>
        </w:numPr>
        <w:spacing w:before="120" w:after="0" w:line="300" w:lineRule="auto"/>
        <w:ind w:right="248" w:rightChars="118" w:firstLine="211" w:firstLineChars="100"/>
        <w:rPr>
          <w:rFonts w:hint="eastAsia" w:ascii="Times New Roman" w:hAnsi="Times New Roman" w:eastAsia="宋体" w:cs="Times New Roman"/>
          <w:kern w:val="0"/>
          <w:sz w:val="21"/>
          <w:szCs w:val="21"/>
          <w:lang w:val="en-US" w:eastAsia="zh-CN"/>
        </w:rPr>
      </w:pPr>
      <w:bookmarkStart w:id="27" w:name="_Toc7190"/>
      <w:r>
        <w:rPr>
          <w:rFonts w:hint="eastAsia" w:ascii="Times New Roman" w:hAnsi="Times New Roman" w:eastAsia="宋体" w:cs="Times New Roman"/>
          <w:kern w:val="0"/>
          <w:sz w:val="21"/>
          <w:szCs w:val="21"/>
          <w:lang w:val="en-US" w:eastAsia="zh-CN"/>
        </w:rPr>
        <w:t>5.3课程目标与教学内容对应关系</w:t>
      </w:r>
      <w:bookmarkEnd w:id="27"/>
    </w:p>
    <w:p>
      <w:pPr>
        <w:spacing w:line="360" w:lineRule="auto"/>
        <w:jc w:val="left"/>
        <w:rPr>
          <w:rFonts w:ascii="宋体" w:hAnsi="宋体"/>
        </w:rPr>
      </w:pPr>
      <w:r>
        <w:rPr>
          <w:rFonts w:hint="eastAsia" w:ascii="宋体" w:hAnsi="宋体"/>
        </w:rPr>
        <w:t>（每周2.5学时（单周3学时，双周二学时），16周，共40学时）具体内容见如下：</w:t>
      </w:r>
    </w:p>
    <w:tbl>
      <w:tblPr>
        <w:tblStyle w:val="14"/>
        <w:tblW w:w="8714" w:type="dxa"/>
        <w:jc w:val="center"/>
        <w:tblLayout w:type="autofit"/>
        <w:tblCellMar>
          <w:top w:w="15" w:type="dxa"/>
          <w:left w:w="15" w:type="dxa"/>
          <w:bottom w:w="15" w:type="dxa"/>
          <w:right w:w="15" w:type="dxa"/>
        </w:tblCellMar>
      </w:tblPr>
      <w:tblGrid>
        <w:gridCol w:w="636"/>
        <w:gridCol w:w="2475"/>
        <w:gridCol w:w="2887"/>
        <w:gridCol w:w="1211"/>
        <w:gridCol w:w="490"/>
        <w:gridCol w:w="508"/>
        <w:gridCol w:w="507"/>
      </w:tblGrid>
      <w:tr>
        <w:tblPrEx>
          <w:tblCellMar>
            <w:top w:w="15" w:type="dxa"/>
            <w:left w:w="15" w:type="dxa"/>
            <w:bottom w:w="15" w:type="dxa"/>
            <w:right w:w="15" w:type="dxa"/>
          </w:tblCellMar>
        </w:tblPrEx>
        <w:trPr>
          <w:trHeight w:val="428" w:hRule="atLeast"/>
          <w:jc w:val="center"/>
        </w:trPr>
        <w:tc>
          <w:tcPr>
            <w:tcW w:w="636"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adjustRightInd w:val="0"/>
              <w:snapToGrid w:val="0"/>
              <w:spacing w:line="360" w:lineRule="auto"/>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序号</w:t>
            </w:r>
          </w:p>
        </w:tc>
        <w:tc>
          <w:tcPr>
            <w:tcW w:w="2475" w:type="dxa"/>
            <w:vMerge w:val="restart"/>
            <w:tcBorders>
              <w:top w:val="single" w:color="auto" w:sz="6" w:space="0"/>
              <w:left w:val="nil"/>
              <w:right w:val="single" w:color="auto" w:sz="6" w:space="0"/>
            </w:tcBorders>
            <w:tcMar>
              <w:top w:w="0" w:type="dxa"/>
              <w:left w:w="105" w:type="dxa"/>
              <w:bottom w:w="0" w:type="dxa"/>
              <w:right w:w="105" w:type="dxa"/>
            </w:tcMar>
            <w:vAlign w:val="center"/>
          </w:tcPr>
          <w:p>
            <w:pPr>
              <w:adjustRightInd w:val="0"/>
              <w:snapToGrid w:val="0"/>
              <w:spacing w:line="360" w:lineRule="auto"/>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课程目标</w:t>
            </w:r>
          </w:p>
        </w:tc>
        <w:tc>
          <w:tcPr>
            <w:tcW w:w="2887" w:type="dxa"/>
            <w:vMerge w:val="restart"/>
            <w:tcBorders>
              <w:top w:val="single" w:color="auto" w:sz="6" w:space="0"/>
              <w:left w:val="nil"/>
              <w:right w:val="single" w:color="auto" w:sz="6" w:space="0"/>
            </w:tcBorders>
            <w:tcMar>
              <w:top w:w="0" w:type="dxa"/>
              <w:left w:w="105" w:type="dxa"/>
              <w:bottom w:w="0" w:type="dxa"/>
              <w:right w:w="105" w:type="dxa"/>
            </w:tcMar>
            <w:vAlign w:val="center"/>
          </w:tcPr>
          <w:p>
            <w:pPr>
              <w:adjustRightInd w:val="0"/>
              <w:snapToGrid w:val="0"/>
              <w:spacing w:line="360" w:lineRule="auto"/>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教学内容（指出教学内容与安排中的章节或教学单元内容）</w:t>
            </w:r>
          </w:p>
        </w:tc>
        <w:tc>
          <w:tcPr>
            <w:tcW w:w="2716" w:type="dxa"/>
            <w:gridSpan w:val="4"/>
            <w:tcBorders>
              <w:top w:val="single" w:color="auto" w:sz="6" w:space="0"/>
              <w:left w:val="nil"/>
              <w:bottom w:val="single" w:color="auto" w:sz="6" w:space="0"/>
              <w:right w:val="single" w:color="auto" w:sz="6" w:space="0"/>
            </w:tcBorders>
            <w:tcMar>
              <w:top w:w="0" w:type="dxa"/>
              <w:left w:w="105" w:type="dxa"/>
              <w:bottom w:w="0" w:type="dxa"/>
              <w:right w:w="105" w:type="dxa"/>
            </w:tcMar>
          </w:tcPr>
          <w:p>
            <w:pPr>
              <w:adjustRightInd w:val="0"/>
              <w:snapToGrid w:val="0"/>
              <w:spacing w:line="360" w:lineRule="auto"/>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tcBorders>
              <w:left w:val="single" w:color="auto" w:sz="6" w:space="0"/>
              <w:right w:val="single" w:color="auto" w:sz="6" w:space="0"/>
            </w:tcBorders>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p>
        </w:tc>
        <w:tc>
          <w:tcPr>
            <w:tcW w:w="2475" w:type="dxa"/>
            <w:vMerge w:val="continue"/>
            <w:tcBorders>
              <w:left w:val="single" w:color="auto" w:sz="6" w:space="0"/>
              <w:right w:val="single" w:color="auto" w:sz="6" w:space="0"/>
            </w:tcBorders>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p>
        </w:tc>
        <w:tc>
          <w:tcPr>
            <w:tcW w:w="2887" w:type="dxa"/>
            <w:vMerge w:val="continue"/>
            <w:tcBorders>
              <w:left w:val="single" w:color="auto" w:sz="6" w:space="0"/>
              <w:right w:val="single" w:color="auto" w:sz="6" w:space="0"/>
            </w:tcBorders>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p>
        </w:tc>
        <w:tc>
          <w:tcPr>
            <w:tcW w:w="1211" w:type="dxa"/>
            <w:tcBorders>
              <w:left w:val="single" w:color="auto" w:sz="6" w:space="0"/>
            </w:tcBorders>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课堂教学</w:t>
            </w:r>
          </w:p>
        </w:tc>
        <w:tc>
          <w:tcPr>
            <w:tcW w:w="490" w:type="dxa"/>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研讨</w:t>
            </w:r>
          </w:p>
        </w:tc>
        <w:tc>
          <w:tcPr>
            <w:tcW w:w="508" w:type="dxa"/>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实验</w:t>
            </w:r>
          </w:p>
        </w:tc>
        <w:tc>
          <w:tcPr>
            <w:tcW w:w="507" w:type="dxa"/>
            <w:tcMar>
              <w:left w:w="57" w:type="dxa"/>
              <w:right w:w="57" w:type="dxa"/>
            </w:tcMar>
            <w:vAlign w:val="center"/>
          </w:tcPr>
          <w:p>
            <w:pPr>
              <w:autoSpaceDE w:val="0"/>
              <w:autoSpaceDN w:val="0"/>
              <w:adjustRightInd w:val="0"/>
              <w:snapToGrid w:val="0"/>
              <w:jc w:val="center"/>
              <w:rPr>
                <w:rFonts w:hint="eastAsia" w:ascii="Times New Roman" w:hAnsi="Times New Roman" w:eastAsia="宋体" w:cs="Times New Roman"/>
                <w:b/>
                <w:bCs/>
                <w:kern w:val="0"/>
                <w:sz w:val="21"/>
                <w:szCs w:val="21"/>
                <w:lang w:val="en-US" w:eastAsia="zh-CN" w:bidi="ar-SA"/>
              </w:rPr>
            </w:pPr>
            <w:r>
              <w:rPr>
                <w:rFonts w:hint="eastAsia" w:ascii="Times New Roman" w:hAnsi="Times New Roman" w:eastAsia="宋体" w:cs="Times New Roman"/>
                <w:b/>
                <w:bCs/>
                <w:kern w:val="0"/>
                <w:sz w:val="21"/>
                <w:szCs w:val="21"/>
                <w:lang w:val="en-US" w:eastAsia="zh-CN" w:bidi="ar-SA"/>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color w:val="000000"/>
                <w:sz w:val="21"/>
                <w:szCs w:val="21"/>
              </w:rPr>
            </w:pPr>
            <w:r>
              <w:rPr>
                <w:rFonts w:hint="eastAsia" w:ascii="宋体" w:hAnsi="宋体" w:eastAsia="宋体" w:cs="宋体"/>
                <w:sz w:val="21"/>
                <w:szCs w:val="21"/>
              </w:rPr>
              <w:t>了解课程概况，与前序课程和后续课程的联系；了解海水分析化学概况，发展现状以及应用途径；海水分析化学在实际领域中的应用，与科研的相关关联</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课堂1.介绍海水分析化学的基本内容和涵盖范围；海水分析的对象；海水的特性及对分析方法的特殊要求</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w:t>
            </w:r>
            <w:r>
              <w:rPr>
                <w:rFonts w:hint="eastAsia" w:ascii="宋体" w:hAnsi="宋体" w:eastAsia="宋体" w:cs="宋体"/>
                <w:kern w:val="0"/>
                <w:sz w:val="21"/>
                <w:szCs w:val="21"/>
              </w:rPr>
              <w:t>海水分析化学测试方式；海洋化学研究的规范性</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课堂3</w:t>
            </w:r>
            <w:r>
              <w:rPr>
                <w:rFonts w:hint="eastAsia" w:ascii="宋体" w:hAnsi="宋体" w:eastAsia="宋体" w:cs="宋体"/>
                <w:color w:val="000000"/>
                <w:kern w:val="0"/>
                <w:sz w:val="21"/>
                <w:szCs w:val="21"/>
                <w:lang w:val="en-US" w:eastAsia="zh-CN"/>
              </w:rPr>
              <w:t>.</w:t>
            </w:r>
            <w:r>
              <w:rPr>
                <w:rFonts w:hint="eastAsia" w:ascii="宋体" w:hAnsi="宋体" w:eastAsia="宋体" w:cs="宋体"/>
                <w:kern w:val="0"/>
                <w:sz w:val="21"/>
                <w:szCs w:val="21"/>
              </w:rPr>
              <w:t>海水分析化学的发展;我国的海水分析化学</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color w:val="000000"/>
                <w:sz w:val="21"/>
                <w:szCs w:val="21"/>
              </w:rPr>
            </w:pPr>
            <w:r>
              <w:rPr>
                <w:rFonts w:hint="eastAsia" w:ascii="宋体" w:hAnsi="宋体" w:eastAsia="宋体" w:cs="宋体"/>
                <w:sz w:val="21"/>
                <w:szCs w:val="21"/>
              </w:rPr>
              <w:t>了解采样器种类和用途，理解海水样品做前处理的目的，过滤和贮存的优缺点</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课堂1.采样器的种类及应用特点;为取得具有代表性的样品，过滤操作的必要性及缺陷；过滤的广义规范</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课堂2-1.各种过滤器、过滤膜以及过滤方法</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课堂2-2.海水样品对贮存的普适性要求及特殊要求</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研讨1.不同采样器和海洋科学研究的对应关系</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理解海水盐度和氯度的定义；了解盐度的分布在海洋学上的意义；盐度的测量方法与相关测量原理 氯度的测量方法及相关测量原理;电导率测盐度中温度和压力对电导率的修正</w:t>
            </w:r>
          </w:p>
          <w:p>
            <w:pPr>
              <w:autoSpaceDE w:val="0"/>
              <w:autoSpaceDN w:val="0"/>
              <w:adjustRightInd w:val="0"/>
              <w:snapToGrid w:val="0"/>
              <w:rPr>
                <w:rFonts w:hint="eastAsia" w:ascii="宋体" w:hAnsi="宋体" w:eastAsia="宋体" w:cs="宋体"/>
                <w:color w:val="000000"/>
                <w:sz w:val="21"/>
                <w:szCs w:val="21"/>
              </w:rPr>
            </w:pP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课堂1.盐度和氯度的定义；基于氯度和基于电导法测量盐度的演变历史。</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课堂2.盐度的测量在海洋学上的意义以及对盐度测量精度和准度的要求。</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课堂3.重量法的原理和方法缺陷；氯度法的原理和标准的建立；电导率法的原理、检测标准和与氯度法测量盐度之间的转换。</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课堂4.Mohr-Knudsen化学法滴定氯度和Fajans化学法滴定氯度的原理与各自的优缺点。</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课堂5.实际测量中温度和压力的影响以及修正原理。</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sz w:val="21"/>
                <w:szCs w:val="21"/>
              </w:rPr>
              <w:t>研讨1. 阅读海水中电导率和使用盐度、绝对盐度之间的转换关系</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sz w:val="21"/>
                <w:szCs w:val="21"/>
              </w:rPr>
              <w:t>实验1. 氯度和盐度</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color w:val="000000"/>
                <w:sz w:val="21"/>
                <w:szCs w:val="21"/>
              </w:rPr>
            </w:pPr>
            <w:r>
              <w:rPr>
                <w:rFonts w:hint="eastAsia" w:ascii="宋体" w:hAnsi="宋体" w:eastAsia="宋体" w:cs="宋体"/>
                <w:sz w:val="21"/>
                <w:szCs w:val="21"/>
              </w:rPr>
              <w:t>溶解氧的定义及在海洋学上的意义；溶解氧的测量方法及相关测量原理；误差分析；碘量法测量溶解氧的方法改进；其它测量溶解氧的原理</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kern w:val="0"/>
                <w:sz w:val="21"/>
                <w:szCs w:val="21"/>
              </w:rPr>
              <w:t>课堂</w:t>
            </w: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w:t>
            </w:r>
            <w:r>
              <w:rPr>
                <w:rFonts w:hint="eastAsia" w:ascii="宋体" w:hAnsi="宋体" w:eastAsia="宋体" w:cs="宋体"/>
                <w:kern w:val="0"/>
                <w:sz w:val="21"/>
                <w:szCs w:val="21"/>
              </w:rPr>
              <w:t>海水中溶解氧的来源；溶解氧在各大洋的分布特征及意义</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Winkler method碘量法的测量原理及主要优点和主要缺点</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碘量法测量溶解氧可能带来误差的环节以及预防措施，包括采样、封装、测量的总过程</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讲解Winkler方法的主要缺点；滴定终点的其它判定方法。其它测量溶解氧的方法</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学生自主学习并通过小组报告形式递交文献阅读ppt </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海水中的溶解氧测量</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海水中COD测定；水体中测量COD的常规方法及对比；碱性高锰酸钾测量COD和碘量法测量溶解氧方法之间的异同分析；</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讲解COD的定义和基本测量原理</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学生自主学习并通过小组报告形式递交文献阅读ppt </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碱性高锰酸钾法测量海水中的COD</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理解测量pH值在海洋学研究上的意义；明确影响海水pH值测定的因素；pH值的定义及标度；pH值的测量方法及相关测量原理</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水系统测量pH的重要意义；海水中缓冲pH的主要成分。比较海水系统和一般水系统的差别，分析影响海水pH值测定的主要因素及影响机理</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海水的高盐度对测量pH的影响以及形成的标度。四种标度的区别及定义。</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电极电位法和紫外分光光度法测量pH的原理，不同标度在测量方法上的具体体现及其中的原理。</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实验4.电极法和分光光度法测量海水中的pH对比</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测量海水碳酸盐系统的意义；总碱度、总无机碳，pCO2的定义及地球化学性质；测量海水中碱度、DIC、pCO2的原理、测量难点以及对应发展出来的测量方法</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海洋碳循环与全球温室效应之间的关系。海洋碳储量与减缓温室效应之间的关系</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总碱度的两种定义以及在地球化学中的重要作用；海水中总碱度的定义与测量总碱度难点之间的关系。碱度的直接法和间接法。间接包括回滴法，碘量法，Gran电位法和电极法；多种测量碱度方法的误差来源及误差分析</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学生自主学习并通过小组报告形式递交文献阅读ppt </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课堂4-5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海水中总无机碳的定义以及地球化学性质；Gran电位法，库伦法，红外法的测量总无机碳的原理及测量过程</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课堂5-6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为测准DIC、TA参数，标准品的作用及选用方法；海水分析中直接测量pCO2的意义</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课堂6</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红外法和库伦法测量pCO2的方法与测量总无机碳方法的原理及测量过程比较</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实验5.海水中碱度的测量</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 xml:space="preserve">学生自主学习并通过小组报告形式递交文献阅读ppt </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理解营养盐元素的定义及组成；明确海水中的磷酸盐组成及测定方法；理解</w:t>
            </w:r>
          </w:p>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紫外吸收光谱的原理；掌握磷钼黄和磷钼蓝法</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海水中营养要素的定义，海水中营养要素定义同陆地系统的差异，营养盐中的痕量元素与常量元素</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海水中的磷酸盐组成及其中可测量的部分；海水中磷酸盐的分布及形成机理。氮限制和磷限制</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紫外吸收光谱原理在测量磷酸盐过程中的应用，和相关的测量灵敏度、线性范围，量程的概念</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磷钼黄和磷钼蓝法方法的原理；海水中的用磷钼蓝法的原因；磷钼黄转换成磷钼蓝法的关键；磷钼蓝法测量海水活性磷酸盐的过程及标准品的使用</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阅读文献-高精度磷酸盐的测量方法和磷酸盐测量在海洋科学研究中的应用</w:t>
            </w:r>
          </w:p>
          <w:p>
            <w:pPr>
              <w:pStyle w:val="20"/>
              <w:numPr>
                <w:ilvl w:val="0"/>
                <w:numId w:val="4"/>
              </w:numPr>
              <w:ind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研讨3</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实验6 磷钼蓝法测量海水中的磷酸盐</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海水中的硅酸盐组成及测定方法；海水中的硅酸盐组成及测定方法；硅钼黄和硅钼蓝法；硅钼蓝法测量海水活性硅酸盐的过程及标准品的使用；硅钼蓝和磷钼蓝法的区别</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海水中的硅酸盐组成及其中可测量的部分；海水中硅酸盐的分布及形成机理；硅钼黄和硅钼蓝法方法的原理；海水中的用硅钼蓝法的原因；硅钼黄转换成硅钼蓝法的关键</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测量过程，标准品的使用以及干扰元素对测量结果的可能影响及影响机理；测量硅酸盐和磷酸盐过程中两者互为干扰，测量原理类似的情况下如何屏蔽其干扰影响</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海水中氮循环的重要意义；海水中可测量的氮元素；海水中亚硝酸盐的测量原理及方法的优点；海水中可测量的氮元素；海水中亚硝酸盐的测量原理及方法的优点；海水中硝酸盐的测量方法；海水中亚硝酸盐的测量原理及方法的优点；海水中硝酸盐的测量方法；海水中对测量硝酸盐的干扰因素</w:t>
            </w:r>
          </w:p>
          <w:p>
            <w:pPr>
              <w:autoSpaceDE w:val="0"/>
              <w:autoSpaceDN w:val="0"/>
              <w:adjustRightInd w:val="0"/>
              <w:snapToGrid w:val="0"/>
              <w:rPr>
                <w:rFonts w:hint="eastAsia" w:ascii="宋体" w:hAnsi="宋体" w:eastAsia="宋体" w:cs="宋体"/>
                <w:sz w:val="21"/>
                <w:szCs w:val="21"/>
              </w:rPr>
            </w:pP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氮循环独立研究的意义以及与碳循环之间的关系；三种主要氮元素之间的相互关系以及对海洋生态环境的影响；国标亚硝酸盐的测量方法，结合紫外分光光度法原理分析该方法优点</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课堂2-3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硝酸盐测量方法的演变以及所依据原理的变化。硝酸盐与亚硝酸盐之间的测量关；测量方法的难点，影响测量准确度的主要机制，及解决措施</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课堂3-4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铵盐的测量方法；总氮的测量方法。测量方法的难点，影响测量准确度的主要机制，及解决措施。</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课外2</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阅读文献-阅读文硝酸盐和亚硝酸盐的在线测量文献</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研讨3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文献报告并在课堂中进行讲解，讨论</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实验7</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测量海水中硝酸盐亚硝酸盐</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475" w:type="dxa"/>
            <w:tcMar>
              <w:left w:w="57" w:type="dxa"/>
              <w:right w:w="57" w:type="dxa"/>
            </w:tcMar>
            <w:vAlign w:val="center"/>
          </w:tcPr>
          <w:p>
            <w:pPr>
              <w:autoSpaceDE w:val="0"/>
              <w:autoSpaceDN w:val="0"/>
              <w:adjustRightInd w:val="0"/>
              <w:snapToGrid w:val="0"/>
              <w:rPr>
                <w:rFonts w:hint="eastAsia" w:ascii="宋体" w:hAnsi="宋体" w:eastAsia="宋体" w:cs="宋体"/>
                <w:sz w:val="21"/>
                <w:szCs w:val="21"/>
              </w:rPr>
            </w:pPr>
            <w:r>
              <w:rPr>
                <w:rFonts w:hint="eastAsia" w:ascii="宋体" w:hAnsi="宋体" w:eastAsia="宋体" w:cs="宋体"/>
                <w:sz w:val="21"/>
                <w:szCs w:val="21"/>
              </w:rPr>
              <w:t>理解以Ca2+为例的海水中常量元素测量方法变化过程、难点以及优缺点</w:t>
            </w:r>
          </w:p>
        </w:tc>
        <w:tc>
          <w:tcPr>
            <w:tcW w:w="2887" w:type="dxa"/>
            <w:tcMar>
              <w:left w:w="57" w:type="dxa"/>
              <w:right w:w="57" w:type="dxa"/>
            </w:tcMar>
            <w:vAlign w:val="center"/>
          </w:tcPr>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sz w:val="21"/>
                <w:szCs w:val="21"/>
              </w:rPr>
              <w:t>课堂1-2</w:t>
            </w:r>
            <w:r>
              <w:rPr>
                <w:rFonts w:hint="eastAsia" w:ascii="宋体" w:hAnsi="宋体" w:eastAsia="宋体" w:cs="宋体"/>
                <w:sz w:val="21"/>
                <w:szCs w:val="21"/>
                <w:lang w:val="en-US" w:eastAsia="zh-CN"/>
              </w:rPr>
              <w:t>.</w:t>
            </w:r>
            <w:r>
              <w:rPr>
                <w:rFonts w:hint="eastAsia" w:ascii="宋体" w:hAnsi="宋体" w:eastAsia="宋体" w:cs="宋体"/>
                <w:sz w:val="21"/>
                <w:szCs w:val="21"/>
              </w:rPr>
              <w:t>海水中测量常量元素的意义及难点；以Ca2+为例说明测量海水中常量元素的方法及难点；测量方法的难点，影响测量准确度的主要机制，及解决措施。</w:t>
            </w:r>
          </w:p>
          <w:p>
            <w:pPr>
              <w:numPr>
                <w:ilvl w:val="0"/>
                <w:numId w:val="4"/>
              </w:numPr>
              <w:autoSpaceDE w:val="0"/>
              <w:autoSpaceDN w:val="0"/>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实验8</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测量海水中Ca2+，半开放性实验</w:t>
            </w:r>
          </w:p>
        </w:tc>
        <w:tc>
          <w:tcPr>
            <w:tcW w:w="1211"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490"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c>
          <w:tcPr>
            <w:tcW w:w="508"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507" w:type="dxa"/>
            <w:tcMar>
              <w:left w:w="57" w:type="dxa"/>
              <w:right w:w="57" w:type="dxa"/>
            </w:tcMar>
            <w:vAlign w:val="center"/>
          </w:tcPr>
          <w:p>
            <w:pPr>
              <w:autoSpaceDE w:val="0"/>
              <w:autoSpaceDN w:val="0"/>
              <w:adjustRightInd w:val="0"/>
              <w:snapToGrid w:val="0"/>
              <w:jc w:val="center"/>
              <w:rPr>
                <w:rFonts w:hint="eastAsia" w:ascii="宋体" w:hAnsi="宋体" w:eastAsia="宋体" w:cs="宋体"/>
                <w:color w:val="000000"/>
                <w:sz w:val="21"/>
                <w:szCs w:val="21"/>
              </w:rPr>
            </w:pPr>
          </w:p>
        </w:tc>
      </w:tr>
    </w:tbl>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28" w:name="_Toc6663"/>
      <w:r>
        <w:rPr>
          <w:rFonts w:hint="eastAsia"/>
          <w:b/>
          <w:bCs w:val="0"/>
          <w:sz w:val="24"/>
          <w:szCs w:val="24"/>
        </w:rPr>
        <w:t>参考教材及相关资料</w:t>
      </w:r>
      <w:bookmarkEnd w:id="28"/>
    </w:p>
    <w:p>
      <w:pPr>
        <w:spacing w:line="360" w:lineRule="auto"/>
        <w:jc w:val="lef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海水分析化学，陈国珍主编，科学出版社，出版日期:1965； </w:t>
      </w:r>
    </w:p>
    <w:p>
      <w:pPr>
        <w:spacing w:line="360" w:lineRule="auto"/>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海洋调查规范，海洋出版社，2004</w:t>
      </w:r>
    </w:p>
    <w:p>
      <w:pPr>
        <w:spacing w:line="360" w:lineRule="auto"/>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海洋监测规范，海洋出版社，1997</w:t>
      </w:r>
    </w:p>
    <w:p>
      <w:pPr>
        <w:spacing w:line="360" w:lineRule="auto"/>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Methods of Seawater Analysis，Klaus Grasshoff et al., Wiley Press,1999；</w:t>
      </w:r>
    </w:p>
    <w:p>
      <w:pPr>
        <w:pStyle w:val="3"/>
        <w:keepNext w:val="0"/>
        <w:keepLines w:val="0"/>
        <w:widowControl/>
        <w:numPr>
          <w:ilvl w:val="1"/>
          <w:numId w:val="1"/>
        </w:numPr>
        <w:pBdr>
          <w:top w:val="single" w:color="DBE5F1" w:sz="24" w:space="0"/>
          <w:left w:val="single" w:color="DBE5F1" w:sz="24" w:space="0"/>
          <w:bottom w:val="single" w:color="DBE5F1" w:sz="24" w:space="0"/>
          <w:right w:val="single" w:color="DBE5F1" w:sz="24" w:space="0"/>
        </w:pBdr>
        <w:shd w:val="clear" w:color="auto" w:fill="DBE5F1"/>
        <w:spacing w:before="120" w:after="0" w:line="360" w:lineRule="auto"/>
        <w:ind w:left="426" w:right="248" w:rightChars="118" w:hanging="284"/>
        <w:jc w:val="left"/>
        <w:rPr>
          <w:rFonts w:hint="eastAsia"/>
          <w:b/>
          <w:bCs w:val="0"/>
          <w:sz w:val="24"/>
          <w:szCs w:val="24"/>
        </w:rPr>
      </w:pPr>
      <w:bookmarkStart w:id="29" w:name="_Toc4314"/>
      <w:r>
        <w:rPr>
          <w:rFonts w:hint="eastAsia"/>
          <w:b/>
          <w:bCs w:val="0"/>
          <w:sz w:val="24"/>
          <w:szCs w:val="24"/>
        </w:rPr>
        <w:t>课程教学网站</w:t>
      </w:r>
      <w:bookmarkEnd w:id="29"/>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运用“学在浙大”教学平台建设课程网站，提供课程教学资源。</w:t>
      </w:r>
    </w:p>
    <w:p>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http://oc.zju.edu.cn/bkspy/hsfxhx/redir.php?catalog_id=396030</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635733"/>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F987E"/>
    <w:multiLevelType w:val="singleLevel"/>
    <w:tmpl w:val="BC0F987E"/>
    <w:lvl w:ilvl="0" w:tentative="0">
      <w:start w:val="1"/>
      <w:numFmt w:val="decimal"/>
      <w:suff w:val="nothing"/>
      <w:lvlText w:val="%1）"/>
      <w:lvlJc w:val="left"/>
    </w:lvl>
  </w:abstractNum>
  <w:abstractNum w:abstractNumId="1">
    <w:nsid w:val="C3522F71"/>
    <w:multiLevelType w:val="singleLevel"/>
    <w:tmpl w:val="C3522F71"/>
    <w:lvl w:ilvl="0" w:tentative="0">
      <w:start w:val="1"/>
      <w:numFmt w:val="decimal"/>
      <w:suff w:val="nothing"/>
      <w:lvlText w:val="%1）"/>
      <w:lvlJc w:val="left"/>
    </w:lvl>
  </w:abstractNum>
  <w:abstractNum w:abstractNumId="2">
    <w:nsid w:val="521252A8"/>
    <w:multiLevelType w:val="multilevel"/>
    <w:tmpl w:val="521252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603139"/>
    <w:multiLevelType w:val="multilevel"/>
    <w:tmpl w:val="6A603139"/>
    <w:lvl w:ilvl="0" w:tentative="0">
      <w:start w:val="2"/>
      <w:numFmt w:val="decimal"/>
      <w:lvlText w:val="%1."/>
      <w:lvlJc w:val="left"/>
      <w:pPr>
        <w:ind w:left="360" w:hanging="360"/>
      </w:pPr>
      <w:rPr>
        <w:rFonts w:hint="default"/>
      </w:rPr>
    </w:lvl>
    <w:lvl w:ilvl="1" w:tentative="0">
      <w:start w:val="1"/>
      <w:numFmt w:val="decimal"/>
      <w:isLgl/>
      <w:lvlText w:val="%2."/>
      <w:lvlJc w:val="left"/>
      <w:pPr>
        <w:ind w:left="842" w:hanging="360"/>
      </w:pPr>
      <w:rPr>
        <w:rFonts w:ascii="Times New Roman" w:hAnsi="Times New Roman" w:eastAsia="宋体" w:cs="Times New Roman"/>
      </w:rPr>
    </w:lvl>
    <w:lvl w:ilvl="2" w:tentative="0">
      <w:start w:val="1"/>
      <w:numFmt w:val="decimal"/>
      <w:isLgl/>
      <w:lvlText w:val="%1.%2.%3"/>
      <w:lvlJc w:val="left"/>
      <w:pPr>
        <w:ind w:left="1684" w:hanging="720"/>
      </w:pPr>
      <w:rPr>
        <w:rFonts w:hint="default"/>
      </w:rPr>
    </w:lvl>
    <w:lvl w:ilvl="3" w:tentative="0">
      <w:start w:val="1"/>
      <w:numFmt w:val="decimal"/>
      <w:isLgl/>
      <w:lvlText w:val="%1.%2.%3.%4"/>
      <w:lvlJc w:val="left"/>
      <w:pPr>
        <w:ind w:left="2166" w:hanging="720"/>
      </w:pPr>
      <w:rPr>
        <w:rFonts w:hint="default"/>
      </w:rPr>
    </w:lvl>
    <w:lvl w:ilvl="4" w:tentative="0">
      <w:start w:val="1"/>
      <w:numFmt w:val="decimal"/>
      <w:isLgl/>
      <w:lvlText w:val="%1.%2.%3.%4.%5"/>
      <w:lvlJc w:val="left"/>
      <w:pPr>
        <w:ind w:left="3008" w:hanging="1080"/>
      </w:pPr>
      <w:rPr>
        <w:rFonts w:hint="default"/>
      </w:rPr>
    </w:lvl>
    <w:lvl w:ilvl="5" w:tentative="0">
      <w:start w:val="1"/>
      <w:numFmt w:val="decimal"/>
      <w:isLgl/>
      <w:lvlText w:val="%1.%2.%3.%4.%5.%6"/>
      <w:lvlJc w:val="left"/>
      <w:pPr>
        <w:ind w:left="3490" w:hanging="1080"/>
      </w:pPr>
      <w:rPr>
        <w:rFonts w:hint="default"/>
      </w:rPr>
    </w:lvl>
    <w:lvl w:ilvl="6" w:tentative="0">
      <w:start w:val="1"/>
      <w:numFmt w:val="decimal"/>
      <w:isLgl/>
      <w:lvlText w:val="%1.%2.%3.%4.%5.%6.%7"/>
      <w:lvlJc w:val="left"/>
      <w:pPr>
        <w:ind w:left="4332" w:hanging="1440"/>
      </w:pPr>
      <w:rPr>
        <w:rFonts w:hint="default"/>
      </w:rPr>
    </w:lvl>
    <w:lvl w:ilvl="7" w:tentative="0">
      <w:start w:val="1"/>
      <w:numFmt w:val="decimal"/>
      <w:isLgl/>
      <w:lvlText w:val="%1.%2.%3.%4.%5.%6.%7.%8"/>
      <w:lvlJc w:val="left"/>
      <w:pPr>
        <w:ind w:left="5174" w:hanging="1800"/>
      </w:pPr>
      <w:rPr>
        <w:rFonts w:hint="default"/>
      </w:rPr>
    </w:lvl>
    <w:lvl w:ilvl="8" w:tentative="0">
      <w:start w:val="1"/>
      <w:numFmt w:val="decimal"/>
      <w:isLgl/>
      <w:lvlText w:val="%1.%2.%3.%4.%5.%6.%7.%8.%9"/>
      <w:lvlJc w:val="left"/>
      <w:pPr>
        <w:ind w:left="565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FE"/>
    <w:rsid w:val="0000226A"/>
    <w:rsid w:val="00011BEE"/>
    <w:rsid w:val="000244B7"/>
    <w:rsid w:val="00026019"/>
    <w:rsid w:val="000478A5"/>
    <w:rsid w:val="00060102"/>
    <w:rsid w:val="000658E5"/>
    <w:rsid w:val="000A028E"/>
    <w:rsid w:val="000A4D50"/>
    <w:rsid w:val="000A5EFC"/>
    <w:rsid w:val="000C0038"/>
    <w:rsid w:val="000C4E92"/>
    <w:rsid w:val="000C52DE"/>
    <w:rsid w:val="000C68FC"/>
    <w:rsid w:val="000D3970"/>
    <w:rsid w:val="000E6D2F"/>
    <w:rsid w:val="001007DB"/>
    <w:rsid w:val="00110BC9"/>
    <w:rsid w:val="0013757B"/>
    <w:rsid w:val="001423E6"/>
    <w:rsid w:val="001563A5"/>
    <w:rsid w:val="0017185C"/>
    <w:rsid w:val="00183050"/>
    <w:rsid w:val="00194EB7"/>
    <w:rsid w:val="001A6335"/>
    <w:rsid w:val="001B2453"/>
    <w:rsid w:val="001B377A"/>
    <w:rsid w:val="001D10B1"/>
    <w:rsid w:val="001D427D"/>
    <w:rsid w:val="00217842"/>
    <w:rsid w:val="00225008"/>
    <w:rsid w:val="00230912"/>
    <w:rsid w:val="00233FD8"/>
    <w:rsid w:val="00241B40"/>
    <w:rsid w:val="002428C1"/>
    <w:rsid w:val="00245BBA"/>
    <w:rsid w:val="00250930"/>
    <w:rsid w:val="00285576"/>
    <w:rsid w:val="002913AC"/>
    <w:rsid w:val="00293F63"/>
    <w:rsid w:val="002E24B0"/>
    <w:rsid w:val="00300E30"/>
    <w:rsid w:val="00327E11"/>
    <w:rsid w:val="0033107A"/>
    <w:rsid w:val="00365421"/>
    <w:rsid w:val="00374B06"/>
    <w:rsid w:val="00376161"/>
    <w:rsid w:val="00386F52"/>
    <w:rsid w:val="00396AB2"/>
    <w:rsid w:val="00396D5B"/>
    <w:rsid w:val="003A39CF"/>
    <w:rsid w:val="003A3E36"/>
    <w:rsid w:val="003B4C9D"/>
    <w:rsid w:val="003E6543"/>
    <w:rsid w:val="003F2199"/>
    <w:rsid w:val="003F3E9E"/>
    <w:rsid w:val="00411427"/>
    <w:rsid w:val="004129B2"/>
    <w:rsid w:val="004219C2"/>
    <w:rsid w:val="00442F52"/>
    <w:rsid w:val="00452DC1"/>
    <w:rsid w:val="00471866"/>
    <w:rsid w:val="004879BB"/>
    <w:rsid w:val="004A2CC3"/>
    <w:rsid w:val="004B24C0"/>
    <w:rsid w:val="004B69E8"/>
    <w:rsid w:val="004C541B"/>
    <w:rsid w:val="004E7BD4"/>
    <w:rsid w:val="004F2169"/>
    <w:rsid w:val="00504CA8"/>
    <w:rsid w:val="005073EC"/>
    <w:rsid w:val="00512BBA"/>
    <w:rsid w:val="00530031"/>
    <w:rsid w:val="00532D52"/>
    <w:rsid w:val="005509D3"/>
    <w:rsid w:val="005639E9"/>
    <w:rsid w:val="00587BB8"/>
    <w:rsid w:val="005911BE"/>
    <w:rsid w:val="005A4E57"/>
    <w:rsid w:val="005A7139"/>
    <w:rsid w:val="005B48E6"/>
    <w:rsid w:val="00600B70"/>
    <w:rsid w:val="0062736B"/>
    <w:rsid w:val="00634DE2"/>
    <w:rsid w:val="00634F1F"/>
    <w:rsid w:val="00637F92"/>
    <w:rsid w:val="00643B06"/>
    <w:rsid w:val="00644569"/>
    <w:rsid w:val="00646454"/>
    <w:rsid w:val="00646C1C"/>
    <w:rsid w:val="006536C8"/>
    <w:rsid w:val="00656549"/>
    <w:rsid w:val="00656C2F"/>
    <w:rsid w:val="00676033"/>
    <w:rsid w:val="00677AF5"/>
    <w:rsid w:val="00680141"/>
    <w:rsid w:val="00692DFB"/>
    <w:rsid w:val="006B0DD4"/>
    <w:rsid w:val="006C0AB1"/>
    <w:rsid w:val="006D2C7E"/>
    <w:rsid w:val="006D4C59"/>
    <w:rsid w:val="006E0F54"/>
    <w:rsid w:val="006E64E2"/>
    <w:rsid w:val="006F7FAB"/>
    <w:rsid w:val="00705B9F"/>
    <w:rsid w:val="007070C4"/>
    <w:rsid w:val="00727C86"/>
    <w:rsid w:val="00732751"/>
    <w:rsid w:val="00732F3E"/>
    <w:rsid w:val="00753F6C"/>
    <w:rsid w:val="00773515"/>
    <w:rsid w:val="007849C5"/>
    <w:rsid w:val="007916B4"/>
    <w:rsid w:val="007916E8"/>
    <w:rsid w:val="00793C5B"/>
    <w:rsid w:val="007C5E57"/>
    <w:rsid w:val="007D1FAD"/>
    <w:rsid w:val="007E1A77"/>
    <w:rsid w:val="007F6E2C"/>
    <w:rsid w:val="00801593"/>
    <w:rsid w:val="008016ED"/>
    <w:rsid w:val="00811E76"/>
    <w:rsid w:val="00833424"/>
    <w:rsid w:val="00836B6C"/>
    <w:rsid w:val="0085154F"/>
    <w:rsid w:val="0087178F"/>
    <w:rsid w:val="008804FA"/>
    <w:rsid w:val="00882452"/>
    <w:rsid w:val="00883D7F"/>
    <w:rsid w:val="00887859"/>
    <w:rsid w:val="00890F13"/>
    <w:rsid w:val="008A2428"/>
    <w:rsid w:val="008A4E2F"/>
    <w:rsid w:val="008D4667"/>
    <w:rsid w:val="008D7BD6"/>
    <w:rsid w:val="008E1173"/>
    <w:rsid w:val="008E1EDA"/>
    <w:rsid w:val="008F0FBA"/>
    <w:rsid w:val="00905C48"/>
    <w:rsid w:val="00911225"/>
    <w:rsid w:val="00922ADC"/>
    <w:rsid w:val="00935D1C"/>
    <w:rsid w:val="009429B4"/>
    <w:rsid w:val="0095549B"/>
    <w:rsid w:val="00965476"/>
    <w:rsid w:val="00971302"/>
    <w:rsid w:val="00975075"/>
    <w:rsid w:val="00981A1B"/>
    <w:rsid w:val="00983CA3"/>
    <w:rsid w:val="00985EA4"/>
    <w:rsid w:val="00997D2A"/>
    <w:rsid w:val="009B4C18"/>
    <w:rsid w:val="009D0D55"/>
    <w:rsid w:val="009D2DA9"/>
    <w:rsid w:val="009D6E5D"/>
    <w:rsid w:val="009E00A1"/>
    <w:rsid w:val="009E0E24"/>
    <w:rsid w:val="009E7F15"/>
    <w:rsid w:val="009F089B"/>
    <w:rsid w:val="009F0B54"/>
    <w:rsid w:val="009F1560"/>
    <w:rsid w:val="009F4340"/>
    <w:rsid w:val="00A0142D"/>
    <w:rsid w:val="00A04ACE"/>
    <w:rsid w:val="00A05C2E"/>
    <w:rsid w:val="00A0620A"/>
    <w:rsid w:val="00A10AE1"/>
    <w:rsid w:val="00A336FA"/>
    <w:rsid w:val="00A373E1"/>
    <w:rsid w:val="00A43939"/>
    <w:rsid w:val="00A4620F"/>
    <w:rsid w:val="00A5017C"/>
    <w:rsid w:val="00A53C8D"/>
    <w:rsid w:val="00A6027D"/>
    <w:rsid w:val="00A73F9C"/>
    <w:rsid w:val="00AA2D12"/>
    <w:rsid w:val="00AA59E1"/>
    <w:rsid w:val="00B0293B"/>
    <w:rsid w:val="00B1484A"/>
    <w:rsid w:val="00B152FE"/>
    <w:rsid w:val="00B16D2C"/>
    <w:rsid w:val="00B34CD6"/>
    <w:rsid w:val="00B34EDB"/>
    <w:rsid w:val="00B3675A"/>
    <w:rsid w:val="00B464BF"/>
    <w:rsid w:val="00B544FA"/>
    <w:rsid w:val="00B54CA8"/>
    <w:rsid w:val="00B636A6"/>
    <w:rsid w:val="00B708FF"/>
    <w:rsid w:val="00B82A2E"/>
    <w:rsid w:val="00B84A25"/>
    <w:rsid w:val="00BA2226"/>
    <w:rsid w:val="00BA6763"/>
    <w:rsid w:val="00BA6932"/>
    <w:rsid w:val="00BB03FD"/>
    <w:rsid w:val="00BC2C6B"/>
    <w:rsid w:val="00BE00F4"/>
    <w:rsid w:val="00C07C6A"/>
    <w:rsid w:val="00C26E1E"/>
    <w:rsid w:val="00C27222"/>
    <w:rsid w:val="00C30069"/>
    <w:rsid w:val="00C31CA1"/>
    <w:rsid w:val="00C3766B"/>
    <w:rsid w:val="00C4695F"/>
    <w:rsid w:val="00C46E33"/>
    <w:rsid w:val="00C504F4"/>
    <w:rsid w:val="00C519A3"/>
    <w:rsid w:val="00C57BA4"/>
    <w:rsid w:val="00C63EE7"/>
    <w:rsid w:val="00C64EED"/>
    <w:rsid w:val="00C77B92"/>
    <w:rsid w:val="00C85274"/>
    <w:rsid w:val="00C92ACB"/>
    <w:rsid w:val="00CD291C"/>
    <w:rsid w:val="00CD2E8E"/>
    <w:rsid w:val="00CD4A3E"/>
    <w:rsid w:val="00CD5DE8"/>
    <w:rsid w:val="00CE39A9"/>
    <w:rsid w:val="00CE5B85"/>
    <w:rsid w:val="00CF1422"/>
    <w:rsid w:val="00CF31B5"/>
    <w:rsid w:val="00D1747A"/>
    <w:rsid w:val="00D2080C"/>
    <w:rsid w:val="00D23E3F"/>
    <w:rsid w:val="00D25181"/>
    <w:rsid w:val="00D341FE"/>
    <w:rsid w:val="00D34F9D"/>
    <w:rsid w:val="00D407DD"/>
    <w:rsid w:val="00D41B2C"/>
    <w:rsid w:val="00D5288E"/>
    <w:rsid w:val="00D779FE"/>
    <w:rsid w:val="00D819AF"/>
    <w:rsid w:val="00D84923"/>
    <w:rsid w:val="00D84FF6"/>
    <w:rsid w:val="00D8576D"/>
    <w:rsid w:val="00D864E8"/>
    <w:rsid w:val="00D96965"/>
    <w:rsid w:val="00DA2963"/>
    <w:rsid w:val="00DC53F0"/>
    <w:rsid w:val="00DE375A"/>
    <w:rsid w:val="00DF2E6D"/>
    <w:rsid w:val="00DF3BB1"/>
    <w:rsid w:val="00DF47E6"/>
    <w:rsid w:val="00E03329"/>
    <w:rsid w:val="00E24330"/>
    <w:rsid w:val="00E272A7"/>
    <w:rsid w:val="00E43783"/>
    <w:rsid w:val="00E528C7"/>
    <w:rsid w:val="00E54051"/>
    <w:rsid w:val="00E805E6"/>
    <w:rsid w:val="00E86587"/>
    <w:rsid w:val="00EA2754"/>
    <w:rsid w:val="00EA399F"/>
    <w:rsid w:val="00EB2AF8"/>
    <w:rsid w:val="00EC6BD5"/>
    <w:rsid w:val="00EE2215"/>
    <w:rsid w:val="00F01A19"/>
    <w:rsid w:val="00F2397B"/>
    <w:rsid w:val="00F305BC"/>
    <w:rsid w:val="00F42FD3"/>
    <w:rsid w:val="00F7436D"/>
    <w:rsid w:val="00F764FC"/>
    <w:rsid w:val="00F91868"/>
    <w:rsid w:val="00FA6897"/>
    <w:rsid w:val="00FD0CB6"/>
    <w:rsid w:val="00FD1E74"/>
    <w:rsid w:val="00FD50D0"/>
    <w:rsid w:val="010C7A05"/>
    <w:rsid w:val="12943EE9"/>
    <w:rsid w:val="155E5CA8"/>
    <w:rsid w:val="1CC31599"/>
    <w:rsid w:val="2BD54E04"/>
    <w:rsid w:val="41DC1148"/>
    <w:rsid w:val="602C4181"/>
    <w:rsid w:val="6E68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24"/>
      <w:szCs w:val="32"/>
    </w:rPr>
  </w:style>
  <w:style w:type="character" w:default="1" w:styleId="15">
    <w:name w:val="Default Paragraph Font"/>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2"/>
    <w:unhideWhenUsed/>
    <w:qFormat/>
    <w:uiPriority w:val="1"/>
    <w:pPr>
      <w:spacing w:after="120"/>
    </w:pPr>
    <w:rPr>
      <w:rFonts w:ascii="Times New Roman" w:hAnsi="Times New Roman" w:eastAsia="宋体" w:cs="Times New Roman"/>
    </w:rPr>
  </w:style>
  <w:style w:type="paragraph" w:styleId="6">
    <w:name w:val="toc 3"/>
    <w:basedOn w:val="1"/>
    <w:next w:val="1"/>
    <w:unhideWhenUsed/>
    <w:uiPriority w:val="39"/>
    <w:pPr>
      <w:ind w:left="840" w:leftChars="400"/>
    </w:pPr>
  </w:style>
  <w:style w:type="paragraph" w:styleId="7">
    <w:name w:val="Balloon Text"/>
    <w:basedOn w:val="1"/>
    <w:link w:val="21"/>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360" w:lineRule="auto"/>
      <w:jc w:val="center"/>
    </w:pPr>
    <w:rPr>
      <w:kern w:val="0"/>
      <w:sz w:val="24"/>
      <w:szCs w:val="24"/>
    </w:rPr>
  </w:style>
  <w:style w:type="paragraph" w:styleId="11">
    <w:name w:val="toc 2"/>
    <w:basedOn w:val="1"/>
    <w:next w:val="1"/>
    <w:unhideWhenUsed/>
    <w:uiPriority w:val="39"/>
    <w:pPr>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19"/>
    <w:qFormat/>
    <w:uiPriority w:val="10"/>
    <w:pPr>
      <w:spacing w:before="240" w:after="60"/>
      <w:jc w:val="center"/>
      <w:outlineLvl w:val="0"/>
    </w:pPr>
    <w:rPr>
      <w:rFonts w:eastAsia="宋体" w:asciiTheme="majorHAnsi" w:hAnsiTheme="majorHAnsi" w:cstheme="majorBidi"/>
      <w:b/>
      <w:bCs/>
      <w:sz w:val="32"/>
      <w:szCs w:val="32"/>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character" w:customStyle="1" w:styleId="19">
    <w:name w:val="标题 字符"/>
    <w:basedOn w:val="15"/>
    <w:link w:val="13"/>
    <w:qFormat/>
    <w:uiPriority w:val="10"/>
    <w:rPr>
      <w:rFonts w:eastAsia="宋体" w:asciiTheme="majorHAnsi" w:hAnsiTheme="majorHAnsi" w:cstheme="majorBidi"/>
      <w:b/>
      <w:bCs/>
      <w:sz w:val="32"/>
      <w:szCs w:val="32"/>
    </w:rPr>
  </w:style>
  <w:style w:type="paragraph" w:styleId="20">
    <w:name w:val="List Paragraph"/>
    <w:basedOn w:val="1"/>
    <w:qFormat/>
    <w:uiPriority w:val="34"/>
    <w:pPr>
      <w:spacing w:line="300" w:lineRule="exact"/>
      <w:ind w:firstLine="420" w:firstLineChars="200"/>
    </w:pPr>
    <w:rPr>
      <w:rFonts w:ascii="Calibri" w:hAnsi="Calibri" w:eastAsia="宋体" w:cs="Times New Roman"/>
    </w:rPr>
  </w:style>
  <w:style w:type="character" w:customStyle="1" w:styleId="21">
    <w:name w:val="批注框文本 字符"/>
    <w:basedOn w:val="15"/>
    <w:link w:val="7"/>
    <w:semiHidden/>
    <w:uiPriority w:val="99"/>
    <w:rPr>
      <w:sz w:val="18"/>
      <w:szCs w:val="18"/>
    </w:rPr>
  </w:style>
  <w:style w:type="character" w:customStyle="1" w:styleId="22">
    <w:name w:val="正文文本 字符"/>
    <w:basedOn w:val="15"/>
    <w:link w:val="5"/>
    <w:qFormat/>
    <w:uiPriority w:val="1"/>
    <w:rPr>
      <w:rFonts w:ascii="Times New Roman" w:hAnsi="Times New Roman" w:eastAsia="宋体" w:cs="Times New Roman"/>
    </w:rPr>
  </w:style>
  <w:style w:type="character" w:customStyle="1" w:styleId="23">
    <w:name w:val="标题 1 字符"/>
    <w:basedOn w:val="15"/>
    <w:link w:val="2"/>
    <w:uiPriority w:val="9"/>
    <w:rPr>
      <w:b/>
      <w:bCs/>
      <w:kern w:val="44"/>
      <w:sz w:val="44"/>
      <w:szCs w:val="44"/>
    </w:rPr>
  </w:style>
  <w:style w:type="paragraph" w:customStyle="1" w:styleId="2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标题 2 字符"/>
    <w:basedOn w:val="15"/>
    <w:link w:val="3"/>
    <w:qFormat/>
    <w:uiPriority w:val="0"/>
    <w:rPr>
      <w:rFonts w:asciiTheme="majorHAnsi" w:hAnsiTheme="majorHAnsi" w:eastAsiaTheme="majorEastAsia" w:cstheme="majorBidi"/>
      <w:b/>
      <w:bCs/>
      <w:sz w:val="32"/>
      <w:szCs w:val="32"/>
    </w:rPr>
  </w:style>
  <w:style w:type="character" w:customStyle="1" w:styleId="26">
    <w:name w:val="标题 3 字符"/>
    <w:basedOn w:val="15"/>
    <w:link w:val="4"/>
    <w:uiPriority w:val="0"/>
    <w:rPr>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930B6-FE47-4278-822B-9031D9D8FEBD}">
  <ds:schemaRefs/>
</ds:datastoreItem>
</file>

<file path=docProps/app.xml><?xml version="1.0" encoding="utf-8"?>
<Properties xmlns="http://schemas.openxmlformats.org/officeDocument/2006/extended-properties" xmlns:vt="http://schemas.openxmlformats.org/officeDocument/2006/docPropsVTypes">
  <Template>Normal</Template>
  <Pages>20</Pages>
  <Words>2080</Words>
  <Characters>11861</Characters>
  <Lines>98</Lines>
  <Paragraphs>27</Paragraphs>
  <TotalTime>0</TotalTime>
  <ScaleCrop>false</ScaleCrop>
  <LinksUpToDate>false</LinksUpToDate>
  <CharactersWithSpaces>13914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2020-01-07T03:00:00Z</dcterms:created>
  <dc:creator>潘 依雯</dc:creator>
  <cp:lastModifiedBy>涛涛</cp:lastModifiedBy>
  <dcterms:modified xsi:type="dcterms:W3CDTF">2020-11-28T10:00:46Z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