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-SA"/>
        </w:rPr>
      </w:pPr>
      <w:bookmarkStart w:id="0" w:name="_Toc1964"/>
      <w:bookmarkStart w:id="1" w:name="_Toc40527278"/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-SA"/>
        </w:rPr>
        <w:t>细胞生物学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-SA"/>
        </w:rPr>
        <w:t>课程教学大纲</w:t>
      </w:r>
      <w:bookmarkEnd w:id="0"/>
      <w:bookmarkEnd w:id="1"/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68432"/>
        <w15:color w:val="DBDBDB"/>
        <w:docPartObj>
          <w:docPartGallery w:val="Table of Contents"/>
          <w:docPartUnique/>
        </w:docPartObj>
      </w:sdtPr>
      <w:sdtEndPr>
        <w:rPr>
          <w:rFonts w:cs="Times New Roman" w:asciiTheme="majorEastAsia" w:hAnsiTheme="majorEastAsia" w:eastAsiaTheme="majorEastAsia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16"/>
            <w:tabs>
              <w:tab w:val="right" w:leader="dot" w:pos="8306"/>
            </w:tabs>
          </w:pPr>
          <w:r>
            <w:rPr>
              <w:rFonts w:cs="Times New Roman" w:asciiTheme="majorEastAsia" w:hAnsiTheme="majorEastAsia" w:eastAsiaTheme="majorEastAsia"/>
            </w:rPr>
            <w:fldChar w:fldCharType="begin"/>
          </w:r>
          <w:r>
            <w:rPr>
              <w:rFonts w:cs="Times New Roman" w:asciiTheme="majorEastAsia" w:hAnsiTheme="majorEastAsia" w:eastAsiaTheme="majorEastAsia"/>
            </w:rPr>
            <w:instrText xml:space="preserve">TOC \o "1-2" \h \u </w:instrText>
          </w:r>
          <w:r>
            <w:rPr>
              <w:rFonts w:cs="Times New Roman" w:asciiTheme="majorEastAsia" w:hAnsiTheme="majorEastAsia" w:eastAsiaTheme="majorEastAsia"/>
            </w:rPr>
            <w:fldChar w:fldCharType="separate"/>
          </w:r>
        </w:p>
        <w:p>
          <w:pPr>
            <w:pStyle w:val="17"/>
            <w:tabs>
              <w:tab w:val="right" w:leader="dot" w:pos="8306"/>
            </w:tabs>
            <w:spacing w:line="360" w:lineRule="auto"/>
            <w:rPr>
              <w:b w:val="0"/>
              <w:bCs/>
            </w:rPr>
          </w:pPr>
          <w:bookmarkStart w:id="17" w:name="_GoBack"/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begin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instrText xml:space="preserve"> HYPERLINK \l _Toc5498 </w:instrText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 w:val="0"/>
              <w:bCs/>
              <w:spacing w:val="15"/>
              <w:kern w:val="0"/>
              <w:szCs w:val="20"/>
              <w:lang w:val="en-US" w:eastAsia="zh-CN" w:bidi="ar-SA"/>
            </w:rPr>
            <w:t>1.课程介绍</w:t>
          </w:r>
          <w:r>
            <w:rPr>
              <w:b w:val="0"/>
              <w:bCs/>
            </w:rPr>
            <w:tab/>
          </w: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PAGEREF _Toc5498 </w:instrText>
          </w:r>
          <w:r>
            <w:rPr>
              <w:b w:val="0"/>
              <w:bCs/>
            </w:rPr>
            <w:fldChar w:fldCharType="separate"/>
          </w:r>
          <w:r>
            <w:rPr>
              <w:b w:val="0"/>
              <w:bCs/>
            </w:rPr>
            <w:t>1</w:t>
          </w:r>
          <w:r>
            <w:rPr>
              <w:b w:val="0"/>
              <w:bCs/>
            </w:rPr>
            <w:fldChar w:fldCharType="end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  <w:rPr>
              <w:b w:val="0"/>
              <w:bCs/>
            </w:rPr>
          </w:pP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begin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instrText xml:space="preserve"> HYPERLINK \l _Toc18672 </w:instrText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 w:val="0"/>
              <w:bCs/>
              <w:kern w:val="0"/>
              <w:szCs w:val="21"/>
              <w:lang w:val="en-US" w:eastAsia="zh-CN"/>
            </w:rPr>
            <w:t>1.1中文简介</w:t>
          </w:r>
          <w:r>
            <w:rPr>
              <w:b w:val="0"/>
              <w:bCs/>
            </w:rPr>
            <w:tab/>
          </w: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PAGEREF _Toc18672 </w:instrText>
          </w:r>
          <w:r>
            <w:rPr>
              <w:b w:val="0"/>
              <w:bCs/>
            </w:rPr>
            <w:fldChar w:fldCharType="separate"/>
          </w:r>
          <w:r>
            <w:rPr>
              <w:b w:val="0"/>
              <w:bCs/>
            </w:rPr>
            <w:t>1</w:t>
          </w:r>
          <w:r>
            <w:rPr>
              <w:b w:val="0"/>
              <w:bCs/>
            </w:rPr>
            <w:fldChar w:fldCharType="end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  <w:rPr>
              <w:b w:val="0"/>
              <w:bCs/>
            </w:rPr>
          </w:pP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begin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instrText xml:space="preserve"> HYPERLINK \l _Toc739 </w:instrText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 w:val="0"/>
              <w:bCs/>
              <w:kern w:val="0"/>
              <w:szCs w:val="21"/>
              <w:lang w:val="en-US" w:eastAsia="zh-CN"/>
            </w:rPr>
            <w:t>1.2英文简介</w:t>
          </w:r>
          <w:r>
            <w:rPr>
              <w:b w:val="0"/>
              <w:bCs/>
            </w:rPr>
            <w:tab/>
          </w: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PAGEREF _Toc739 </w:instrText>
          </w:r>
          <w:r>
            <w:rPr>
              <w:b w:val="0"/>
              <w:bCs/>
            </w:rPr>
            <w:fldChar w:fldCharType="separate"/>
          </w:r>
          <w:r>
            <w:rPr>
              <w:b w:val="0"/>
              <w:bCs/>
            </w:rPr>
            <w:t>2</w:t>
          </w:r>
          <w:r>
            <w:rPr>
              <w:b w:val="0"/>
              <w:bCs/>
            </w:rPr>
            <w:fldChar w:fldCharType="end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  <w:spacing w:line="360" w:lineRule="auto"/>
            <w:rPr>
              <w:b w:val="0"/>
              <w:bCs/>
            </w:rPr>
          </w:pP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begin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instrText xml:space="preserve"> HYPERLINK \l _Toc22326 </w:instrText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 w:val="0"/>
              <w:bCs/>
              <w:spacing w:val="15"/>
              <w:kern w:val="0"/>
              <w:szCs w:val="20"/>
              <w:lang w:val="en-US" w:eastAsia="zh-CN" w:bidi="ar-SA"/>
            </w:rPr>
            <w:t>2.课程目标与可测量结果</w:t>
          </w:r>
          <w:r>
            <w:rPr>
              <w:b w:val="0"/>
              <w:bCs/>
            </w:rPr>
            <w:tab/>
          </w: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PAGEREF _Toc22326 </w:instrText>
          </w:r>
          <w:r>
            <w:rPr>
              <w:b w:val="0"/>
              <w:bCs/>
            </w:rPr>
            <w:fldChar w:fldCharType="separate"/>
          </w:r>
          <w:r>
            <w:rPr>
              <w:b w:val="0"/>
              <w:bCs/>
            </w:rPr>
            <w:t>2</w:t>
          </w:r>
          <w:r>
            <w:rPr>
              <w:b w:val="0"/>
              <w:bCs/>
            </w:rPr>
            <w:fldChar w:fldCharType="end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  <w:rPr>
              <w:b w:val="0"/>
              <w:bCs/>
            </w:rPr>
          </w:pP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begin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instrText xml:space="preserve"> HYPERLINK \l _Toc5668 </w:instrText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 w:val="0"/>
              <w:bCs/>
              <w:kern w:val="0"/>
              <w:szCs w:val="21"/>
              <w:lang w:val="en-US" w:eastAsia="zh-CN"/>
            </w:rPr>
            <w:t>2.1课程目标</w:t>
          </w:r>
          <w:r>
            <w:rPr>
              <w:b w:val="0"/>
              <w:bCs/>
            </w:rPr>
            <w:tab/>
          </w: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PAGEREF _Toc5668 </w:instrText>
          </w:r>
          <w:r>
            <w:rPr>
              <w:b w:val="0"/>
              <w:bCs/>
            </w:rPr>
            <w:fldChar w:fldCharType="separate"/>
          </w:r>
          <w:r>
            <w:rPr>
              <w:b w:val="0"/>
              <w:bCs/>
            </w:rPr>
            <w:t>2</w:t>
          </w:r>
          <w:r>
            <w:rPr>
              <w:b w:val="0"/>
              <w:bCs/>
            </w:rPr>
            <w:fldChar w:fldCharType="end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  <w:rPr>
              <w:b w:val="0"/>
              <w:bCs/>
            </w:rPr>
          </w:pP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begin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instrText xml:space="preserve"> HYPERLINK \l _Toc7769 </w:instrText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 w:val="0"/>
              <w:bCs/>
              <w:kern w:val="0"/>
              <w:szCs w:val="21"/>
              <w:lang w:val="en-US" w:eastAsia="zh-CN"/>
            </w:rPr>
            <w:t>2.2可测量结果</w:t>
          </w:r>
          <w:r>
            <w:rPr>
              <w:b w:val="0"/>
              <w:bCs/>
            </w:rPr>
            <w:tab/>
          </w: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PAGEREF _Toc7769 </w:instrText>
          </w:r>
          <w:r>
            <w:rPr>
              <w:b w:val="0"/>
              <w:bCs/>
            </w:rPr>
            <w:fldChar w:fldCharType="separate"/>
          </w:r>
          <w:r>
            <w:rPr>
              <w:b w:val="0"/>
              <w:bCs/>
            </w:rPr>
            <w:t>2</w:t>
          </w:r>
          <w:r>
            <w:rPr>
              <w:b w:val="0"/>
              <w:bCs/>
            </w:rPr>
            <w:fldChar w:fldCharType="end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  <w:spacing w:line="360" w:lineRule="auto"/>
            <w:rPr>
              <w:b w:val="0"/>
              <w:bCs/>
            </w:rPr>
          </w:pP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begin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instrText xml:space="preserve"> HYPERLINK \l _Toc3251 </w:instrText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 w:val="0"/>
              <w:bCs/>
              <w:spacing w:val="15"/>
              <w:kern w:val="0"/>
              <w:szCs w:val="20"/>
              <w:lang w:val="en-US" w:eastAsia="zh-CN" w:bidi="ar-SA"/>
            </w:rPr>
            <w:t>3.授课方式与学生过程管理方式</w:t>
          </w:r>
          <w:r>
            <w:rPr>
              <w:b w:val="0"/>
              <w:bCs/>
            </w:rPr>
            <w:tab/>
          </w: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PAGEREF _Toc3251 </w:instrText>
          </w:r>
          <w:r>
            <w:rPr>
              <w:b w:val="0"/>
              <w:bCs/>
            </w:rPr>
            <w:fldChar w:fldCharType="separate"/>
          </w:r>
          <w:r>
            <w:rPr>
              <w:b w:val="0"/>
              <w:bCs/>
            </w:rPr>
            <w:t>3</w:t>
          </w:r>
          <w:r>
            <w:rPr>
              <w:b w:val="0"/>
              <w:bCs/>
            </w:rPr>
            <w:fldChar w:fldCharType="end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  <w:rPr>
              <w:b w:val="0"/>
              <w:bCs/>
            </w:rPr>
          </w:pP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begin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instrText xml:space="preserve"> HYPERLINK \l _Toc27366 </w:instrText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 w:val="0"/>
              <w:bCs/>
              <w:kern w:val="0"/>
              <w:szCs w:val="21"/>
              <w:lang w:val="en-US" w:eastAsia="zh-CN"/>
            </w:rPr>
            <w:t>3.1授课方式与要求</w:t>
          </w:r>
          <w:r>
            <w:rPr>
              <w:b w:val="0"/>
              <w:bCs/>
            </w:rPr>
            <w:tab/>
          </w: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PAGEREF _Toc27366 </w:instrText>
          </w:r>
          <w:r>
            <w:rPr>
              <w:b w:val="0"/>
              <w:bCs/>
            </w:rPr>
            <w:fldChar w:fldCharType="separate"/>
          </w:r>
          <w:r>
            <w:rPr>
              <w:b w:val="0"/>
              <w:bCs/>
            </w:rPr>
            <w:t>3</w:t>
          </w:r>
          <w:r>
            <w:rPr>
              <w:b w:val="0"/>
              <w:bCs/>
            </w:rPr>
            <w:fldChar w:fldCharType="end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  <w:rPr>
              <w:b w:val="0"/>
              <w:bCs/>
            </w:rPr>
          </w:pP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begin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instrText xml:space="preserve"> HYPERLINK \l _Toc23031 </w:instrText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 w:val="0"/>
              <w:bCs/>
              <w:kern w:val="0"/>
              <w:szCs w:val="21"/>
              <w:lang w:val="en-US" w:eastAsia="zh-CN"/>
            </w:rPr>
            <w:t>3.2学生过程管理方式</w:t>
          </w:r>
          <w:r>
            <w:rPr>
              <w:b w:val="0"/>
              <w:bCs/>
            </w:rPr>
            <w:tab/>
          </w: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PAGEREF _Toc23031 </w:instrText>
          </w:r>
          <w:r>
            <w:rPr>
              <w:b w:val="0"/>
              <w:bCs/>
            </w:rPr>
            <w:fldChar w:fldCharType="separate"/>
          </w:r>
          <w:r>
            <w:rPr>
              <w:b w:val="0"/>
              <w:bCs/>
            </w:rPr>
            <w:t>3</w:t>
          </w:r>
          <w:r>
            <w:rPr>
              <w:b w:val="0"/>
              <w:bCs/>
            </w:rPr>
            <w:fldChar w:fldCharType="end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  <w:spacing w:line="360" w:lineRule="auto"/>
            <w:rPr>
              <w:b w:val="0"/>
              <w:bCs/>
            </w:rPr>
          </w:pP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begin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instrText xml:space="preserve"> HYPERLINK \l _Toc8057 </w:instrText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 w:val="0"/>
              <w:bCs/>
              <w:spacing w:val="15"/>
              <w:kern w:val="0"/>
              <w:szCs w:val="20"/>
              <w:lang w:val="en-US" w:eastAsia="zh-CN" w:bidi="ar-SA"/>
            </w:rPr>
            <w:t>4.考核方式与成绩构成</w:t>
          </w:r>
          <w:r>
            <w:rPr>
              <w:b w:val="0"/>
              <w:bCs/>
            </w:rPr>
            <w:tab/>
          </w: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PAGEREF _Toc8057 </w:instrText>
          </w:r>
          <w:r>
            <w:rPr>
              <w:b w:val="0"/>
              <w:bCs/>
            </w:rPr>
            <w:fldChar w:fldCharType="separate"/>
          </w:r>
          <w:r>
            <w:rPr>
              <w:b w:val="0"/>
              <w:bCs/>
            </w:rPr>
            <w:t>3</w:t>
          </w:r>
          <w:r>
            <w:rPr>
              <w:b w:val="0"/>
              <w:bCs/>
            </w:rPr>
            <w:fldChar w:fldCharType="end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  <w:rPr>
              <w:b w:val="0"/>
              <w:bCs/>
            </w:rPr>
          </w:pP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begin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instrText xml:space="preserve"> HYPERLINK \l _Toc18366 </w:instrText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 w:val="0"/>
              <w:bCs/>
              <w:kern w:val="0"/>
              <w:szCs w:val="21"/>
              <w:lang w:val="en-US" w:eastAsia="zh-CN"/>
            </w:rPr>
            <w:t>4.1考核方式</w:t>
          </w:r>
          <w:r>
            <w:rPr>
              <w:b w:val="0"/>
              <w:bCs/>
            </w:rPr>
            <w:tab/>
          </w: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PAGEREF _Toc18366 </w:instrText>
          </w:r>
          <w:r>
            <w:rPr>
              <w:b w:val="0"/>
              <w:bCs/>
            </w:rPr>
            <w:fldChar w:fldCharType="separate"/>
          </w:r>
          <w:r>
            <w:rPr>
              <w:b w:val="0"/>
              <w:bCs/>
            </w:rPr>
            <w:t>3</w:t>
          </w:r>
          <w:r>
            <w:rPr>
              <w:b w:val="0"/>
              <w:bCs/>
            </w:rPr>
            <w:fldChar w:fldCharType="end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  <w:rPr>
              <w:b w:val="0"/>
              <w:bCs/>
            </w:rPr>
          </w:pP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begin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instrText xml:space="preserve"> HYPERLINK \l _Toc4547 </w:instrText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 w:val="0"/>
              <w:bCs/>
              <w:kern w:val="0"/>
              <w:szCs w:val="21"/>
              <w:lang w:val="en-US" w:eastAsia="zh-CN"/>
            </w:rPr>
            <w:t>4.2成绩构成</w:t>
          </w:r>
          <w:r>
            <w:rPr>
              <w:b w:val="0"/>
              <w:bCs/>
            </w:rPr>
            <w:tab/>
          </w: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PAGEREF _Toc4547 </w:instrText>
          </w:r>
          <w:r>
            <w:rPr>
              <w:b w:val="0"/>
              <w:bCs/>
            </w:rPr>
            <w:fldChar w:fldCharType="separate"/>
          </w:r>
          <w:r>
            <w:rPr>
              <w:b w:val="0"/>
              <w:bCs/>
            </w:rPr>
            <w:t>4</w:t>
          </w:r>
          <w:r>
            <w:rPr>
              <w:b w:val="0"/>
              <w:bCs/>
            </w:rPr>
            <w:fldChar w:fldCharType="end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  <w:spacing w:line="360" w:lineRule="auto"/>
            <w:rPr>
              <w:b w:val="0"/>
              <w:bCs/>
            </w:rPr>
          </w:pP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begin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instrText xml:space="preserve"> HYPERLINK \l _Toc9128 </w:instrText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 w:val="0"/>
              <w:bCs/>
              <w:spacing w:val="15"/>
              <w:kern w:val="0"/>
              <w:szCs w:val="20"/>
              <w:lang w:val="en-US" w:eastAsia="zh-CN" w:bidi="ar-SA"/>
            </w:rPr>
            <w:t>5.教学安排</w:t>
          </w:r>
          <w:r>
            <w:rPr>
              <w:b w:val="0"/>
              <w:bCs/>
            </w:rPr>
            <w:tab/>
          </w: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PAGEREF _Toc9128 </w:instrText>
          </w:r>
          <w:r>
            <w:rPr>
              <w:b w:val="0"/>
              <w:bCs/>
            </w:rPr>
            <w:fldChar w:fldCharType="separate"/>
          </w:r>
          <w:r>
            <w:rPr>
              <w:b w:val="0"/>
              <w:bCs/>
            </w:rPr>
            <w:t>4</w:t>
          </w:r>
          <w:r>
            <w:rPr>
              <w:b w:val="0"/>
              <w:bCs/>
            </w:rPr>
            <w:fldChar w:fldCharType="end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  <w:spacing w:line="360" w:lineRule="auto"/>
            <w:rPr>
              <w:b w:val="0"/>
              <w:bCs/>
            </w:rPr>
          </w:pP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begin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instrText xml:space="preserve"> HYPERLINK \l _Toc13513 </w:instrText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 w:val="0"/>
              <w:bCs/>
              <w:spacing w:val="15"/>
              <w:kern w:val="0"/>
              <w:szCs w:val="20"/>
              <w:lang w:val="en-US" w:eastAsia="zh-CN" w:bidi="ar-SA"/>
            </w:rPr>
            <w:t>6.参考教材及相关资料</w:t>
          </w:r>
          <w:r>
            <w:rPr>
              <w:b w:val="0"/>
              <w:bCs/>
            </w:rPr>
            <w:tab/>
          </w: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PAGEREF _Toc13513 </w:instrText>
          </w:r>
          <w:r>
            <w:rPr>
              <w:b w:val="0"/>
              <w:bCs/>
            </w:rPr>
            <w:fldChar w:fldCharType="separate"/>
          </w:r>
          <w:r>
            <w:rPr>
              <w:b w:val="0"/>
              <w:bCs/>
            </w:rPr>
            <w:t>7</w:t>
          </w:r>
          <w:r>
            <w:rPr>
              <w:b w:val="0"/>
              <w:bCs/>
            </w:rPr>
            <w:fldChar w:fldCharType="end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end"/>
          </w:r>
        </w:p>
        <w:p>
          <w:pPr>
            <w:pStyle w:val="17"/>
            <w:tabs>
              <w:tab w:val="right" w:leader="dot" w:pos="8306"/>
            </w:tabs>
            <w:spacing w:line="360" w:lineRule="auto"/>
            <w:rPr>
              <w:b/>
            </w:rPr>
          </w:pP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begin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instrText xml:space="preserve"> HYPERLINK \l _Toc10476 </w:instrText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separate"/>
          </w:r>
          <w:r>
            <w:rPr>
              <w:rFonts w:hint="eastAsia" w:ascii="Times New Roman" w:hAnsi="Times New Roman" w:cs="Times New Roman"/>
              <w:b w:val="0"/>
              <w:bCs/>
              <w:lang w:val="en-US" w:eastAsia="zh-CN"/>
            </w:rPr>
            <w:t>7</w:t>
          </w:r>
          <w:r>
            <w:rPr>
              <w:rFonts w:hint="eastAsia" w:ascii="Times New Roman" w:hAnsi="Times New Roman" w:cs="Times New Roman"/>
              <w:b w:val="0"/>
              <w:bCs/>
              <w:szCs w:val="21"/>
              <w:lang w:eastAsia="zh-CN"/>
            </w:rPr>
            <w:t>.</w:t>
          </w:r>
          <w:r>
            <w:rPr>
              <w:rFonts w:ascii="Times New Roman" w:hAnsi="Times New Roman" w:cs="Times New Roman"/>
              <w:b w:val="0"/>
              <w:bCs/>
              <w:szCs w:val="21"/>
            </w:rPr>
            <w:t>课程教学网站：</w:t>
          </w:r>
          <w:r>
            <w:rPr>
              <w:b w:val="0"/>
              <w:bCs/>
            </w:rPr>
            <w:tab/>
          </w: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PAGEREF _Toc10476 </w:instrText>
          </w:r>
          <w:r>
            <w:rPr>
              <w:b w:val="0"/>
              <w:bCs/>
            </w:rPr>
            <w:fldChar w:fldCharType="separate"/>
          </w:r>
          <w:r>
            <w:rPr>
              <w:b w:val="0"/>
              <w:bCs/>
            </w:rPr>
            <w:t>7</w:t>
          </w:r>
          <w:r>
            <w:rPr>
              <w:b w:val="0"/>
              <w:bCs/>
            </w:rPr>
            <w:fldChar w:fldCharType="end"/>
          </w:r>
          <w:r>
            <w:rPr>
              <w:rFonts w:cs="Times New Roman" w:asciiTheme="majorEastAsia" w:hAnsiTheme="majorEastAsia" w:eastAsiaTheme="majorEastAsia"/>
              <w:b w:val="0"/>
              <w:bCs/>
            </w:rPr>
            <w:fldChar w:fldCharType="end"/>
          </w:r>
          <w:bookmarkEnd w:id="17"/>
        </w:p>
        <w:p>
          <w:pPr>
            <w:jc w:val="left"/>
            <w:rPr>
              <w:rFonts w:cs="Times New Roman" w:asciiTheme="majorEastAsia" w:hAnsiTheme="majorEastAsia" w:eastAsiaTheme="majorEastAsia"/>
            </w:rPr>
            <w:sectPr>
              <w:pgSz w:w="11906" w:h="16838"/>
              <w:pgMar w:top="1440" w:right="1800" w:bottom="1440" w:left="1800" w:header="851" w:footer="992" w:gutter="0"/>
              <w:cols w:space="720" w:num="1"/>
              <w:docGrid w:type="lines" w:linePitch="312" w:charSpace="0"/>
            </w:sectPr>
          </w:pPr>
          <w:r>
            <w:rPr>
              <w:rFonts w:cs="Times New Roman" w:asciiTheme="majorEastAsia" w:hAnsiTheme="majorEastAsia" w:eastAsiaTheme="majorEastAsia"/>
            </w:rPr>
            <w:fldChar w:fldCharType="end"/>
          </w:r>
        </w:p>
        <w:p>
          <w:pPr>
            <w:pStyle w:val="2"/>
            <w:rPr>
              <w:rFonts w:cs="Times New Roman" w:asciiTheme="majorEastAsia" w:hAnsiTheme="majorEastAsia" w:eastAsiaTheme="majorEastAsia"/>
              <w:kern w:val="2"/>
              <w:sz w:val="21"/>
              <w:szCs w:val="22"/>
              <w:lang w:val="en-US" w:eastAsia="zh-CN" w:bidi="ar-SA"/>
            </w:rPr>
          </w:pPr>
        </w:p>
      </w:sdtContent>
    </w:sdt>
    <w:p>
      <w:pPr>
        <w:pStyle w:val="2"/>
        <w:rPr>
          <w:rFonts w:hint="default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-SA"/>
        </w:rPr>
        <w:t>细胞生物学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-SA"/>
        </w:rPr>
        <w:t>课程教学大纲</w:t>
      </w:r>
    </w:p>
    <w:p>
      <w:pPr>
        <w:jc w:val="left"/>
        <w:rPr>
          <w:rFonts w:cs="Times New Roman" w:asciiTheme="majorEastAsia" w:hAnsiTheme="majorEastAsia" w:eastAsiaTheme="majorEastAsia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782"/>
        <w:gridCol w:w="632"/>
        <w:gridCol w:w="1212"/>
        <w:gridCol w:w="721"/>
        <w:gridCol w:w="1815"/>
        <w:gridCol w:w="2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课程代码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74190250</w:t>
            </w: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课程名称（中英文）</w:t>
            </w:r>
          </w:p>
        </w:tc>
        <w:tc>
          <w:tcPr>
            <w:tcW w:w="47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细胞生物学（Cell Biology）</w:t>
            </w:r>
          </w:p>
        </w:tc>
      </w:tr>
      <w:tr>
        <w:trPr>
          <w:jc w:val="center"/>
        </w:trPr>
        <w:tc>
          <w:tcPr>
            <w:tcW w:w="1143" w:type="dxa"/>
          </w:tcPr>
          <w:p>
            <w:pPr>
              <w:spacing w:line="360" w:lineRule="auto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开课学期</w:t>
            </w:r>
          </w:p>
        </w:tc>
        <w:tc>
          <w:tcPr>
            <w:tcW w:w="1414" w:type="dxa"/>
            <w:gridSpan w:val="2"/>
          </w:tcPr>
          <w:p>
            <w:pPr>
              <w:spacing w:line="360" w:lineRule="auto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秋学期</w:t>
            </w:r>
          </w:p>
        </w:tc>
        <w:tc>
          <w:tcPr>
            <w:tcW w:w="1212" w:type="dxa"/>
          </w:tcPr>
          <w:p>
            <w:pPr>
              <w:spacing w:line="360" w:lineRule="auto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面向对象</w:t>
            </w:r>
          </w:p>
        </w:tc>
        <w:tc>
          <w:tcPr>
            <w:tcW w:w="4753" w:type="dxa"/>
            <w:gridSpan w:val="3"/>
          </w:tcPr>
          <w:p>
            <w:pPr>
              <w:spacing w:line="360" w:lineRule="auto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海洋科学 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</w:tcPr>
          <w:p>
            <w:pPr>
              <w:spacing w:line="360" w:lineRule="auto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预修要求</w:t>
            </w:r>
          </w:p>
        </w:tc>
        <w:tc>
          <w:tcPr>
            <w:tcW w:w="7379" w:type="dxa"/>
            <w:gridSpan w:val="6"/>
          </w:tcPr>
          <w:p>
            <w:pPr>
              <w:spacing w:line="360" w:lineRule="auto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普通生物学</w:t>
            </w:r>
          </w:p>
        </w:tc>
      </w:tr>
      <w:tr>
        <w:trPr>
          <w:jc w:val="center"/>
        </w:trPr>
        <w:tc>
          <w:tcPr>
            <w:tcW w:w="1143" w:type="dxa"/>
          </w:tcPr>
          <w:p>
            <w:pPr>
              <w:spacing w:line="288" w:lineRule="auto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课程学分</w:t>
            </w:r>
          </w:p>
        </w:tc>
        <w:tc>
          <w:tcPr>
            <w:tcW w:w="1414" w:type="dxa"/>
            <w:gridSpan w:val="2"/>
          </w:tcPr>
          <w:p>
            <w:pPr>
              <w:spacing w:line="288" w:lineRule="auto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1.5</w:t>
            </w:r>
            <w:r>
              <w:rPr>
                <w:rFonts w:hint="eastAsia"/>
                <w:bCs/>
                <w:color w:val="000000"/>
                <w:szCs w:val="21"/>
              </w:rPr>
              <w:t>（3.0-0）</w:t>
            </w:r>
          </w:p>
        </w:tc>
        <w:tc>
          <w:tcPr>
            <w:tcW w:w="1212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学时安排</w:t>
            </w:r>
          </w:p>
        </w:tc>
        <w:tc>
          <w:tcPr>
            <w:tcW w:w="4753" w:type="dxa"/>
            <w:gridSpan w:val="3"/>
          </w:tcPr>
          <w:p>
            <w:pPr>
              <w:spacing w:line="288" w:lineRule="auto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理论学时：24学时；每周一次、平均3学时</w:t>
            </w:r>
          </w:p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实验学时：共16学时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大纲制订人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丁婉婧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实验教师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无</w:t>
            </w:r>
          </w:p>
        </w:tc>
      </w:tr>
      <w:tr>
        <w:trPr>
          <w:jc w:val="center"/>
        </w:trPr>
        <w:tc>
          <w:tcPr>
            <w:tcW w:w="19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全部任课教师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cs="宋体"/>
                <w:bCs/>
                <w:color w:val="000000"/>
                <w:szCs w:val="21"/>
              </w:rPr>
              <w:t>丁婉婧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审核人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（课程组组长）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修订时间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cs="宋体"/>
                <w:bCs/>
                <w:color w:val="000000"/>
                <w:szCs w:val="21"/>
              </w:rPr>
              <w:t>2020年9月21日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Cs/>
                <w:color w:val="000000"/>
                <w:szCs w:val="21"/>
              </w:rPr>
            </w:pP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Cs/>
                <w:color w:val="000000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widowControl/>
        <w:numPr>
          <w:ilvl w:val="1"/>
          <w:numId w:val="1"/>
        </w:numPr>
        <w:pBdr>
          <w:top w:val="single" w:color="DBE5F1" w:sz="24" w:space="0"/>
          <w:left w:val="single" w:color="DBE5F1" w:sz="24" w:space="0"/>
          <w:bottom w:val="single" w:color="DBE5F1" w:sz="24" w:space="0"/>
          <w:right w:val="single" w:color="DBE5F1" w:sz="24" w:space="0"/>
        </w:pBdr>
        <w:shd w:val="clear" w:color="auto" w:fill="DBE5F1"/>
        <w:spacing w:before="120" w:after="0" w:line="360" w:lineRule="auto"/>
        <w:ind w:left="426" w:right="248" w:rightChars="118" w:hanging="284"/>
        <w:jc w:val="left"/>
        <w:rPr>
          <w:rFonts w:hint="eastAsia" w:asciiTheme="majorHAnsi" w:hAnsiTheme="majorHAnsi" w:eastAsiaTheme="majorEastAsia" w:cstheme="majorBidi"/>
          <w:b w:val="0"/>
          <w:kern w:val="2"/>
          <w:sz w:val="24"/>
          <w:szCs w:val="24"/>
          <w:lang w:val="en-US" w:eastAsia="zh-CN"/>
        </w:rPr>
      </w:pPr>
      <w:bookmarkStart w:id="2" w:name="_Toc5498"/>
      <w:r>
        <w:rPr>
          <w:rFonts w:hint="eastAsia" w:asciiTheme="majorHAnsi" w:hAnsiTheme="majorHAnsi" w:eastAsiaTheme="majorEastAsia" w:cstheme="majorBidi"/>
          <w:b w:val="0"/>
          <w:kern w:val="2"/>
          <w:sz w:val="24"/>
          <w:szCs w:val="24"/>
          <w:lang w:val="en-US" w:eastAsia="zh-CN"/>
        </w:rPr>
        <w:t>课程介绍</w:t>
      </w:r>
      <w:bookmarkEnd w:id="2"/>
    </w:p>
    <w:p>
      <w:pPr>
        <w:pStyle w:val="3"/>
        <w:numPr>
          <w:ilvl w:val="0"/>
          <w:numId w:val="0"/>
        </w:numPr>
        <w:spacing w:before="120" w:after="0" w:line="300" w:lineRule="auto"/>
        <w:ind w:left="284" w:leftChars="0" w:right="248" w:rightChars="118"/>
        <w:outlineLvl w:val="1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bookmarkStart w:id="3" w:name="_Toc18672"/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1.1中文简介</w:t>
      </w:r>
      <w:bookmarkEnd w:id="3"/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宋体" w:hAnsi="宋体" w:eastAsia="宋体" w:cs="Times New Roman"/>
        </w:rPr>
        <w:t>细胞生物学是生命科学类本科生的学科基础课程。本课程从细胞的显微、亚显微和分子三个水平研究细胞的结构功能，涉及细胞的结构和功能、细胞增殖、分化、代谢、运动、死亡以及细胞信号转导、细胞基因表达和调控，并包括细胞生物学基本研究手段和实验方法。通过本课程的学习，使学生正确认识细胞结构、功能及各种生命活动和生命现象；掌握细胞的形态结构及细胞生命活动规律，了解细胞生物学研究领域的重点和热点，提高学生对细胞生物学知识的应用能力。</w:t>
      </w:r>
    </w:p>
    <w:p>
      <w:pPr>
        <w:pStyle w:val="3"/>
        <w:numPr>
          <w:ilvl w:val="0"/>
          <w:numId w:val="0"/>
        </w:numPr>
        <w:spacing w:before="120" w:after="0" w:line="300" w:lineRule="auto"/>
        <w:ind w:left="284" w:leftChars="0" w:right="248" w:rightChars="118"/>
        <w:outlineLvl w:val="1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bookmarkStart w:id="4" w:name="_Toc739"/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1.2英文简介</w:t>
      </w:r>
      <w:bookmarkEnd w:id="4"/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Arial Unicode MS" w:cs="Times New Roman"/>
        </w:rPr>
        <w:t xml:space="preserve">Cell biology is the basic </w:t>
      </w:r>
      <w:r>
        <w:rPr>
          <w:rFonts w:hint="eastAsia" w:ascii="Times New Roman" w:hAnsi="Times New Roman" w:eastAsia="Arial Unicode MS" w:cs="Times New Roman"/>
        </w:rPr>
        <w:t>course</w:t>
      </w:r>
      <w:r>
        <w:rPr>
          <w:rFonts w:ascii="Times New Roman" w:hAnsi="Times New Roman" w:eastAsia="Arial Unicode MS" w:cs="Times New Roman"/>
        </w:rPr>
        <w:t xml:space="preserve"> of life science. Th</w:t>
      </w:r>
      <w:r>
        <w:rPr>
          <w:rFonts w:hint="eastAsia" w:ascii="Times New Roman" w:hAnsi="Times New Roman" w:eastAsia="Arial Unicode MS" w:cs="Times New Roman"/>
        </w:rPr>
        <w:t>e</w:t>
      </w:r>
      <w:r>
        <w:rPr>
          <w:rFonts w:ascii="Times New Roman" w:hAnsi="Times New Roman" w:eastAsia="Arial Unicode MS" w:cs="Times New Roman"/>
        </w:rPr>
        <w:t xml:space="preserve"> course studies the structure and function of cells </w:t>
      </w:r>
      <w:r>
        <w:rPr>
          <w:rFonts w:hint="eastAsia" w:ascii="Times New Roman" w:hAnsi="Times New Roman" w:eastAsia="Arial Unicode MS" w:cs="Times New Roman"/>
        </w:rPr>
        <w:t>in</w:t>
      </w:r>
      <w:r>
        <w:rPr>
          <w:rFonts w:ascii="Times New Roman" w:hAnsi="Times New Roman" w:eastAsia="Arial Unicode MS" w:cs="Times New Roman"/>
        </w:rPr>
        <w:t xml:space="preserve"> the cell microscopy, submicroscopy and molecular</w:t>
      </w:r>
      <w:r>
        <w:rPr>
          <w:rFonts w:hint="eastAsia" w:ascii="Times New Roman" w:hAnsi="Times New Roman" w:eastAsia="Arial Unicode MS" w:cs="Times New Roman"/>
        </w:rPr>
        <w:t xml:space="preserve"> levels</w:t>
      </w:r>
      <w:r>
        <w:rPr>
          <w:rFonts w:ascii="Times New Roman" w:hAnsi="Times New Roman" w:eastAsia="Arial Unicode MS" w:cs="Times New Roman"/>
        </w:rPr>
        <w:t>, in</w:t>
      </w:r>
      <w:r>
        <w:rPr>
          <w:rFonts w:hint="eastAsia" w:ascii="Times New Roman" w:hAnsi="Times New Roman" w:eastAsia="Arial Unicode MS" w:cs="Times New Roman"/>
        </w:rPr>
        <w:t xml:space="preserve">cluding </w:t>
      </w:r>
      <w:r>
        <w:rPr>
          <w:rFonts w:ascii="Times New Roman" w:hAnsi="Times New Roman" w:eastAsia="Arial Unicode MS" w:cs="Times New Roman"/>
        </w:rPr>
        <w:t>cell structure and function, cell proliferation, differentiation, metabolism, movement, death, cell signal transduction, cell gene expression and regulation</w:t>
      </w:r>
      <w:r>
        <w:rPr>
          <w:rFonts w:hint="eastAsia" w:ascii="Times New Roman" w:hAnsi="Times New Roman" w:eastAsia="Arial Unicode MS" w:cs="Times New Roman"/>
        </w:rPr>
        <w:t>,</w:t>
      </w:r>
      <w:r>
        <w:rPr>
          <w:rFonts w:ascii="Times New Roman" w:hAnsi="Times New Roman" w:eastAsia="Arial Unicode MS" w:cs="Times New Roman"/>
        </w:rPr>
        <w:t xml:space="preserve"> basic research methods and experimental methods of cell biology. Through the study of this course, students will have a correct understanding of cell structure, function and various life activities and life phenomena</w:t>
      </w:r>
      <w:r>
        <w:rPr>
          <w:rFonts w:hint="eastAsia" w:ascii="Times New Roman" w:hAnsi="Times New Roman" w:eastAsia="Arial Unicode MS" w:cs="Times New Roman"/>
        </w:rPr>
        <w:t>. Students will learn</w:t>
      </w:r>
      <w:r>
        <w:rPr>
          <w:rFonts w:ascii="Times New Roman" w:hAnsi="Times New Roman" w:eastAsia="Arial Unicode MS" w:cs="Times New Roman"/>
        </w:rPr>
        <w:t xml:space="preserve"> the morpholog</w:t>
      </w:r>
      <w:r>
        <w:rPr>
          <w:rFonts w:hint="eastAsia" w:ascii="Times New Roman" w:hAnsi="Times New Roman" w:eastAsia="Arial Unicode MS" w:cs="Times New Roman"/>
        </w:rPr>
        <w:t>y</w:t>
      </w:r>
      <w:r>
        <w:rPr>
          <w:rFonts w:ascii="Times New Roman" w:hAnsi="Times New Roman" w:eastAsia="Arial Unicode MS" w:cs="Times New Roman"/>
        </w:rPr>
        <w:t xml:space="preserve"> </w:t>
      </w:r>
      <w:r>
        <w:rPr>
          <w:rFonts w:hint="eastAsia" w:ascii="Times New Roman" w:hAnsi="Times New Roman" w:eastAsia="Arial Unicode MS" w:cs="Times New Roman"/>
        </w:rPr>
        <w:t xml:space="preserve">and </w:t>
      </w:r>
      <w:r>
        <w:rPr>
          <w:rFonts w:ascii="Times New Roman" w:hAnsi="Times New Roman" w:eastAsia="Arial Unicode MS" w:cs="Times New Roman"/>
        </w:rPr>
        <w:t>structure of cells and the laws of cell life activities</w:t>
      </w:r>
      <w:r>
        <w:rPr>
          <w:rFonts w:hint="eastAsia" w:ascii="Times New Roman" w:hAnsi="Times New Roman" w:eastAsia="Arial Unicode MS" w:cs="Times New Roman"/>
        </w:rPr>
        <w:t xml:space="preserve"> and </w:t>
      </w:r>
      <w:r>
        <w:rPr>
          <w:rFonts w:ascii="Times New Roman" w:hAnsi="Times New Roman" w:eastAsia="Arial Unicode MS" w:cs="Times New Roman"/>
        </w:rPr>
        <w:t>understand the key points and hotspots of cell biology research</w:t>
      </w:r>
      <w:r>
        <w:rPr>
          <w:rFonts w:hint="eastAsia" w:ascii="Times New Roman" w:hAnsi="Times New Roman" w:eastAsia="Arial Unicode MS" w:cs="Times New Roman"/>
        </w:rPr>
        <w:t xml:space="preserve">. Furthermore, the ablility to apply </w:t>
      </w:r>
      <w:r>
        <w:rPr>
          <w:rFonts w:ascii="Times New Roman" w:hAnsi="Times New Roman" w:eastAsia="Arial Unicode MS" w:cs="Times New Roman"/>
        </w:rPr>
        <w:t>knowledge</w:t>
      </w:r>
      <w:r>
        <w:rPr>
          <w:rFonts w:hint="eastAsia" w:ascii="Times New Roman" w:hAnsi="Times New Roman" w:eastAsia="Arial Unicode MS" w:cs="Times New Roman"/>
        </w:rPr>
        <w:t xml:space="preserve"> of cell biology will be improved.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pBdr>
          <w:top w:val="single" w:color="DBE5F1" w:sz="24" w:space="0"/>
          <w:left w:val="single" w:color="DBE5F1" w:sz="24" w:space="0"/>
          <w:bottom w:val="single" w:color="DBE5F1" w:sz="24" w:space="0"/>
          <w:right w:val="single" w:color="DBE5F1" w:sz="24" w:space="0"/>
        </w:pBdr>
        <w:shd w:val="clear" w:color="auto" w:fill="DBE5F1"/>
        <w:spacing w:before="120" w:after="0" w:line="360" w:lineRule="auto"/>
        <w:ind w:left="142" w:leftChars="0" w:right="248" w:rightChars="118"/>
        <w:jc w:val="left"/>
        <w:rPr>
          <w:rFonts w:hint="eastAsia" w:asciiTheme="majorHAnsi" w:hAnsiTheme="majorHAnsi" w:eastAsiaTheme="majorEastAsia" w:cstheme="majorBidi"/>
          <w:b w:val="0"/>
          <w:kern w:val="2"/>
          <w:sz w:val="24"/>
          <w:szCs w:val="24"/>
          <w:lang w:val="en-US" w:eastAsia="zh-CN"/>
        </w:rPr>
      </w:pPr>
      <w:bookmarkStart w:id="5" w:name="_Toc22326"/>
      <w:r>
        <w:rPr>
          <w:rFonts w:hint="eastAsia" w:asciiTheme="majorHAnsi" w:hAnsiTheme="majorHAnsi" w:eastAsiaTheme="majorEastAsia" w:cstheme="majorBidi"/>
          <w:b w:val="0"/>
          <w:kern w:val="2"/>
          <w:sz w:val="24"/>
          <w:szCs w:val="24"/>
          <w:lang w:val="en-US" w:eastAsia="zh-CN"/>
        </w:rPr>
        <w:t>2.课程目标与可测量结果</w:t>
      </w:r>
      <w:bookmarkEnd w:id="5"/>
    </w:p>
    <w:p>
      <w:pPr>
        <w:pStyle w:val="3"/>
        <w:numPr>
          <w:ilvl w:val="0"/>
          <w:numId w:val="0"/>
        </w:numPr>
        <w:spacing w:before="120" w:after="0" w:line="300" w:lineRule="auto"/>
        <w:ind w:left="284" w:leftChars="0" w:right="248" w:rightChars="118"/>
        <w:outlineLvl w:val="1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bookmarkStart w:id="6" w:name="_Toc5668"/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2.1课程目标</w:t>
      </w:r>
      <w:bookmarkEnd w:id="6"/>
    </w:p>
    <w:p>
      <w:pPr>
        <w:pStyle w:val="7"/>
        <w:spacing w:beforeAutospacing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1）掌握细胞生物学中的基础知识和基本理论。</w:t>
      </w:r>
    </w:p>
    <w:p>
      <w:pPr>
        <w:pStyle w:val="7"/>
        <w:spacing w:beforeAutospacing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2）了解细胞生物学中的基本研究手段和实验方法。</w:t>
      </w:r>
    </w:p>
    <w:p>
      <w:pPr>
        <w:pStyle w:val="7"/>
        <w:spacing w:beforeAutospacing="0" w:afterAutospacing="0"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3）掌握细胞的结构与功能，理解并掌握各个亚细胞结构和功能。</w:t>
      </w:r>
    </w:p>
    <w:p>
      <w:pPr>
        <w:pStyle w:val="7"/>
        <w:spacing w:beforeAutospacing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4）理解并掌握细胞重要生命活动（增殖、分化、衰老及凋亡）过程的规律及调控。</w:t>
      </w:r>
    </w:p>
    <w:p>
      <w:pPr>
        <w:pStyle w:val="7"/>
        <w:spacing w:beforeAutospacing="0" w:afterAutospacing="0" w:line="360" w:lineRule="auto"/>
        <w:ind w:firstLine="420" w:firstLineChars="200"/>
        <w:rPr>
          <w:rFonts w:ascii="Times New Roman" w:hAnsi="Times New Roman" w:cs="Times New Roman"/>
          <w:kern w:val="2"/>
          <w:sz w:val="21"/>
          <w:szCs w:val="22"/>
        </w:rPr>
      </w:pPr>
      <w:r>
        <w:rPr>
          <w:rFonts w:hint="eastAsia" w:ascii="Times New Roman" w:hAnsi="Times New Roman" w:cs="Times New Roman"/>
          <w:kern w:val="2"/>
          <w:sz w:val="21"/>
          <w:szCs w:val="22"/>
        </w:rPr>
        <w:t>5）通过介绍我国细胞生物学领域的最新进展，弘扬社会主义核心价值观，培养有理想有本领有担当的新时代大学生。</w:t>
      </w:r>
    </w:p>
    <w:p>
      <w:pPr>
        <w:pStyle w:val="3"/>
        <w:numPr>
          <w:ilvl w:val="0"/>
          <w:numId w:val="0"/>
        </w:numPr>
        <w:spacing w:before="120" w:after="0" w:line="300" w:lineRule="auto"/>
        <w:ind w:left="284" w:leftChars="0" w:right="248" w:rightChars="118"/>
        <w:outlineLvl w:val="1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bookmarkStart w:id="7" w:name="_Toc7769"/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2.2可测量结果</w:t>
      </w:r>
      <w:bookmarkEnd w:id="7"/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</w:t>
      </w:r>
    </w:p>
    <w:p>
      <w:pPr>
        <w:pStyle w:val="7"/>
        <w:spacing w:beforeAutospacing="0" w:afterAutospacing="0"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1）了解细胞生物学发展史和细胞生物学主要研究内容；理解细胞生物学主要研究方法。</w:t>
      </w:r>
    </w:p>
    <w:p>
      <w:pPr>
        <w:pStyle w:val="7"/>
        <w:spacing w:beforeAutospacing="0" w:afterAutospacing="0"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2）掌握细胞的基本知识以及细胞膜、线粒体、内质网、高尔基体、细胞骨架、核糖体以及细胞核的结构特征及功能。</w:t>
      </w:r>
    </w:p>
    <w:p>
      <w:pPr>
        <w:pStyle w:val="7"/>
        <w:spacing w:beforeAutospacing="0" w:afterAutospacing="0"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3）掌握信号分子与受体类型，理解并掌握G蛋白偶联受体的结构与激活，了解其他类型的信号通路。</w:t>
      </w:r>
    </w:p>
    <w:p>
      <w:pPr>
        <w:pStyle w:val="7"/>
        <w:spacing w:beforeAutospacing="0" w:afterAutospacing="0"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4）掌握癌细胞的基本特征以及癌基因与抑癌基因对细胞癌变的作用。理解并掌握细胞凋亡的概念以及凋亡的形态学、生物化学特征及检测方法。了解细胞衰老的概念和特征。</w:t>
      </w:r>
    </w:p>
    <w:p>
      <w:pPr>
        <w:pStyle w:val="7"/>
        <w:spacing w:beforeAutospacing="0" w:afterAutospacing="0"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5）掌握并理解细胞连接功能与作用，了解细胞外基质的功能。</w:t>
      </w:r>
    </w:p>
    <w:p>
      <w:pPr>
        <w:pStyle w:val="7"/>
        <w:spacing w:beforeAutospacing="0" w:afterAutospacing="0"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6）能够灵活运用细胞生物学的基本理论知识解决问题，对学习海洋生物后续课程奠定基础。</w:t>
      </w:r>
    </w:p>
    <w:p>
      <w:pPr>
        <w:pStyle w:val="7"/>
        <w:spacing w:beforeAutospacing="0" w:afterAutospacing="0"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7）具备相关文献阅读能力。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pBdr>
          <w:top w:val="single" w:color="DBE5F1" w:sz="24" w:space="0"/>
          <w:left w:val="single" w:color="DBE5F1" w:sz="24" w:space="0"/>
          <w:bottom w:val="single" w:color="DBE5F1" w:sz="24" w:space="0"/>
          <w:right w:val="single" w:color="DBE5F1" w:sz="24" w:space="0"/>
        </w:pBdr>
        <w:shd w:val="clear" w:color="auto" w:fill="DBE5F1"/>
        <w:spacing w:before="120" w:after="0" w:line="360" w:lineRule="auto"/>
        <w:ind w:left="142" w:leftChars="0" w:right="248" w:rightChars="118"/>
        <w:jc w:val="left"/>
        <w:rPr>
          <w:rFonts w:hint="eastAsia" w:asciiTheme="majorHAnsi" w:hAnsiTheme="majorHAnsi" w:eastAsiaTheme="majorEastAsia" w:cstheme="majorBidi"/>
          <w:b w:val="0"/>
          <w:kern w:val="2"/>
          <w:sz w:val="24"/>
          <w:szCs w:val="24"/>
          <w:lang w:val="en-US" w:eastAsia="zh-CN"/>
        </w:rPr>
      </w:pPr>
      <w:bookmarkStart w:id="8" w:name="_Toc3251"/>
      <w:r>
        <w:rPr>
          <w:rFonts w:hint="eastAsia" w:asciiTheme="majorHAnsi" w:hAnsiTheme="majorHAnsi" w:eastAsiaTheme="majorEastAsia" w:cstheme="majorBidi"/>
          <w:b w:val="0"/>
          <w:kern w:val="2"/>
          <w:sz w:val="24"/>
          <w:szCs w:val="24"/>
          <w:lang w:val="en-US" w:eastAsia="zh-CN"/>
        </w:rPr>
        <w:t>3.授课方式与学生过程管理方式</w:t>
      </w:r>
      <w:bookmarkEnd w:id="8"/>
    </w:p>
    <w:p>
      <w:pPr>
        <w:pStyle w:val="3"/>
        <w:numPr>
          <w:ilvl w:val="0"/>
          <w:numId w:val="0"/>
        </w:numPr>
        <w:spacing w:before="120" w:after="0" w:line="300" w:lineRule="auto"/>
        <w:ind w:left="284" w:leftChars="0" w:right="248" w:rightChars="118"/>
        <w:outlineLvl w:val="1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bookmarkStart w:id="9" w:name="_Toc27366"/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3.1授课方式与要求</w:t>
      </w:r>
      <w:bookmarkEnd w:id="9"/>
    </w:p>
    <w:p>
      <w:pPr>
        <w:pStyle w:val="7"/>
        <w:spacing w:beforeAutospacing="0" w:afterAutospacing="0"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1）教师授课：讲授核心内容并提示新的课程内容、答疑等；</w:t>
      </w:r>
    </w:p>
    <w:p>
      <w:pPr>
        <w:pStyle w:val="7"/>
        <w:spacing w:beforeAutospacing="0" w:afterAutospacing="0"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教师讲授基本理论及方法，兼顾课程内容的基础性、先进性，在详细介绍课程基本核心内容的同时，介绍与时俱进发展的新内容、新技术，并结合科研进行案例教学，通过分析细胞生物学应用案例，在巩固知识的同时，提高学生的学习兴趣；注重课内外师生的互动。</w:t>
      </w:r>
    </w:p>
    <w:p>
      <w:pPr>
        <w:pStyle w:val="7"/>
        <w:spacing w:beforeAutospacing="0" w:afterAutospacing="0"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2）课后阅读和讨论：对老师布置的海洋生物细胞生物学前沿问题进行文献查询与撰写；</w:t>
      </w:r>
    </w:p>
    <w:p>
      <w:pPr>
        <w:pStyle w:val="7"/>
        <w:spacing w:beforeAutospacing="0" w:afterAutospacing="0"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将部分课程拓展内容布置给学生，让学生结合文献讲解，老师进行组织和引导讨论，促进学生自主学习的能力。</w:t>
      </w:r>
    </w:p>
    <w:p>
      <w:pPr>
        <w:pStyle w:val="7"/>
        <w:spacing w:beforeAutospacing="0" w:afterAutospacing="0"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3）课后测试：重点章节进行课后测试，同时布置学生自主设计测试题（给出题目考查的知识点及答案），通过测试消化和巩固课程内容。</w:t>
      </w:r>
    </w:p>
    <w:p>
      <w:pPr>
        <w:pStyle w:val="7"/>
        <w:spacing w:beforeAutospacing="0" w:afterAutospacing="0"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课程要求：熟悉基本知识、培养思维和表达能力及团队合作精神、尝试用细胞生物学方法解决生物学问题。</w:t>
      </w:r>
    </w:p>
    <w:p>
      <w:pPr>
        <w:pStyle w:val="3"/>
        <w:numPr>
          <w:ilvl w:val="0"/>
          <w:numId w:val="0"/>
        </w:numPr>
        <w:spacing w:before="120" w:after="0" w:line="300" w:lineRule="auto"/>
        <w:ind w:left="284" w:leftChars="0" w:right="248" w:rightChars="118"/>
        <w:outlineLvl w:val="1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bookmarkStart w:id="10" w:name="_Toc23031"/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3.2学生过程管理方式</w:t>
      </w:r>
      <w:bookmarkEnd w:id="10"/>
    </w:p>
    <w:p>
      <w:pPr>
        <w:pStyle w:val="7"/>
        <w:spacing w:beforeAutospacing="0" w:afterAutospacing="0"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1）课前预习和网络资源学习要求：要求同学进行课前在“学在浙大”课程网站预习。</w:t>
      </w:r>
    </w:p>
    <w:p>
      <w:pPr>
        <w:pStyle w:val="7"/>
        <w:spacing w:beforeAutospacing="0" w:afterAutospacing="0"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2）课后作业和其他任务要求：要求同学认真按时完成课后作业以及测试。</w:t>
      </w:r>
    </w:p>
    <w:p>
      <w:pPr>
        <w:pStyle w:val="7"/>
        <w:spacing w:beforeAutospacing="0" w:afterAutospacing="0"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3）讨论交流要求：让学生结合文献讲解，老师进行组织和引导讨论，鼓励学生提问，提问的同学有奖励分数。</w:t>
      </w:r>
    </w:p>
    <w:p>
      <w:pPr>
        <w:pStyle w:val="7"/>
        <w:spacing w:beforeAutospacing="0" w:afterAutospacing="0"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4）答疑安排：在考试周前安排答疑。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pBdr>
          <w:top w:val="single" w:color="DBE5F1" w:sz="24" w:space="0"/>
          <w:left w:val="single" w:color="DBE5F1" w:sz="24" w:space="0"/>
          <w:bottom w:val="single" w:color="DBE5F1" w:sz="24" w:space="0"/>
          <w:right w:val="single" w:color="DBE5F1" w:sz="24" w:space="0"/>
        </w:pBdr>
        <w:shd w:val="clear" w:color="auto" w:fill="DBE5F1"/>
        <w:spacing w:before="120" w:after="0" w:line="360" w:lineRule="auto"/>
        <w:ind w:left="142" w:leftChars="0" w:right="248" w:rightChars="118"/>
        <w:jc w:val="left"/>
        <w:rPr>
          <w:rFonts w:hint="eastAsia" w:asciiTheme="majorHAnsi" w:hAnsiTheme="majorHAnsi" w:eastAsiaTheme="majorEastAsia" w:cstheme="majorBidi"/>
          <w:b w:val="0"/>
          <w:kern w:val="2"/>
          <w:sz w:val="24"/>
          <w:szCs w:val="24"/>
          <w:lang w:val="en-US" w:eastAsia="zh-CN"/>
        </w:rPr>
      </w:pPr>
      <w:bookmarkStart w:id="11" w:name="_Toc8057"/>
      <w:r>
        <w:rPr>
          <w:rFonts w:hint="eastAsia" w:asciiTheme="majorHAnsi" w:hAnsiTheme="majorHAnsi" w:eastAsiaTheme="majorEastAsia" w:cstheme="majorBidi"/>
          <w:b w:val="0"/>
          <w:kern w:val="2"/>
          <w:sz w:val="24"/>
          <w:szCs w:val="24"/>
          <w:lang w:val="en-US" w:eastAsia="zh-CN"/>
        </w:rPr>
        <w:t>4.考核方式与成绩构成</w:t>
      </w:r>
      <w:bookmarkEnd w:id="11"/>
    </w:p>
    <w:p>
      <w:pPr>
        <w:pStyle w:val="3"/>
        <w:numPr>
          <w:ilvl w:val="0"/>
          <w:numId w:val="0"/>
        </w:numPr>
        <w:spacing w:before="120" w:after="0" w:line="300" w:lineRule="auto"/>
        <w:ind w:left="284" w:leftChars="0" w:right="248" w:rightChars="118"/>
        <w:outlineLvl w:val="1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bookmarkStart w:id="12" w:name="_Toc18366"/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4.1考核方式</w:t>
      </w:r>
      <w:bookmarkEnd w:id="12"/>
    </w:p>
    <w:p>
      <w:pPr>
        <w:spacing w:line="360" w:lineRule="auto"/>
        <w:ind w:right="248" w:rightChars="118" w:firstLine="42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采用</w:t>
      </w:r>
      <w:r>
        <w:rPr>
          <w:rFonts w:hint="eastAsia" w:ascii="Times New Roman" w:hAnsi="Times New Roman" w:eastAsia="宋体" w:cs="Times New Roman"/>
          <w:kern w:val="0"/>
          <w:szCs w:val="21"/>
        </w:rPr>
        <w:t>过程化</w:t>
      </w:r>
      <w:r>
        <w:rPr>
          <w:rFonts w:ascii="Times New Roman" w:hAnsi="Times New Roman" w:eastAsia="宋体" w:cs="Times New Roman"/>
          <w:kern w:val="0"/>
          <w:szCs w:val="21"/>
        </w:rPr>
        <w:t>、</w:t>
      </w:r>
      <w:r>
        <w:rPr>
          <w:rFonts w:hint="eastAsia" w:ascii="Times New Roman" w:hAnsi="Times New Roman" w:eastAsia="宋体" w:cs="Times New Roman"/>
          <w:kern w:val="0"/>
          <w:szCs w:val="21"/>
        </w:rPr>
        <w:t>多元化</w:t>
      </w:r>
      <w:r>
        <w:rPr>
          <w:rFonts w:ascii="Times New Roman" w:hAnsi="Times New Roman" w:eastAsia="宋体" w:cs="Times New Roman"/>
          <w:kern w:val="0"/>
          <w:szCs w:val="21"/>
        </w:rPr>
        <w:t>的课程考核和评价</w:t>
      </w:r>
      <w:r>
        <w:rPr>
          <w:rFonts w:hint="eastAsia" w:ascii="Times New Roman" w:hAnsi="Times New Roman" w:eastAsia="宋体" w:cs="Times New Roman"/>
          <w:kern w:val="0"/>
          <w:szCs w:val="21"/>
        </w:rPr>
        <w:t>方式</w:t>
      </w:r>
      <w:r>
        <w:rPr>
          <w:rFonts w:ascii="Times New Roman" w:hAnsi="Times New Roman" w:eastAsia="宋体" w:cs="Times New Roman"/>
          <w:kern w:val="0"/>
          <w:szCs w:val="21"/>
        </w:rPr>
        <w:t>，注重学习过程、综合能力的培养及考核。</w:t>
      </w:r>
      <w:r>
        <w:rPr>
          <w:rFonts w:hint="eastAsia" w:ascii="Times New Roman" w:hAnsi="Times New Roman" w:eastAsia="宋体" w:cs="Times New Roman"/>
          <w:kern w:val="0"/>
          <w:szCs w:val="21"/>
        </w:rPr>
        <w:t>具体包括：章节测试，期末考试，平时作业以及文献讲解等。</w:t>
      </w:r>
    </w:p>
    <w:p>
      <w:pPr>
        <w:pStyle w:val="3"/>
        <w:numPr>
          <w:ilvl w:val="0"/>
          <w:numId w:val="0"/>
        </w:numPr>
        <w:spacing w:before="120" w:after="0" w:line="300" w:lineRule="auto"/>
        <w:ind w:left="284" w:leftChars="0" w:right="248" w:rightChars="118"/>
        <w:outlineLvl w:val="1"/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bookmarkStart w:id="13" w:name="_Toc4547"/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4.2成绩构成</w:t>
      </w:r>
      <w:bookmarkEnd w:id="13"/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910"/>
        <w:gridCol w:w="6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pct"/>
            <w:vAlign w:val="center"/>
          </w:tcPr>
          <w:p>
            <w:pPr>
              <w:pStyle w:val="4"/>
              <w:adjustRightInd w:val="0"/>
              <w:snapToGrid w:val="0"/>
              <w:spacing w:after="0" w:line="312" w:lineRule="auto"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考核环节</w:t>
            </w:r>
          </w:p>
        </w:tc>
        <w:tc>
          <w:tcPr>
            <w:tcW w:w="534" w:type="pct"/>
            <w:vAlign w:val="center"/>
          </w:tcPr>
          <w:p>
            <w:pPr>
              <w:pStyle w:val="4"/>
              <w:adjustRightInd w:val="0"/>
              <w:snapToGrid w:val="0"/>
              <w:spacing w:after="0" w:line="312" w:lineRule="auto"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分值</w:t>
            </w:r>
          </w:p>
        </w:tc>
        <w:tc>
          <w:tcPr>
            <w:tcW w:w="3620" w:type="pct"/>
            <w:vAlign w:val="center"/>
          </w:tcPr>
          <w:p>
            <w:pPr>
              <w:pStyle w:val="4"/>
              <w:adjustRightInd w:val="0"/>
              <w:snapToGrid w:val="0"/>
              <w:spacing w:after="0" w:line="312" w:lineRule="auto"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考核/评价细则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46" w:type="pct"/>
            <w:vMerge w:val="restart"/>
            <w:vAlign w:val="center"/>
          </w:tcPr>
          <w:p>
            <w:pPr>
              <w:pStyle w:val="4"/>
              <w:adjustRightInd w:val="0"/>
              <w:snapToGrid w:val="0"/>
              <w:spacing w:after="0" w:line="312" w:lineRule="auto"/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平时成绩</w:t>
            </w:r>
          </w:p>
          <w:p>
            <w:pPr>
              <w:pStyle w:val="4"/>
              <w:adjustRightInd w:val="0"/>
              <w:snapToGrid w:val="0"/>
              <w:spacing w:after="0" w:line="312" w:lineRule="auto"/>
              <w:jc w:val="left"/>
              <w:rPr>
                <w:rFonts w:cs="宋体"/>
                <w:szCs w:val="21"/>
              </w:rPr>
            </w:pPr>
          </w:p>
        </w:tc>
        <w:tc>
          <w:tcPr>
            <w:tcW w:w="534" w:type="pct"/>
            <w:vAlign w:val="center"/>
          </w:tcPr>
          <w:p>
            <w:pPr>
              <w:pStyle w:val="4"/>
              <w:adjustRightInd w:val="0"/>
              <w:snapToGrid w:val="0"/>
              <w:spacing w:after="0" w:line="312" w:lineRule="auto"/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10</w:t>
            </w:r>
          </w:p>
        </w:tc>
        <w:tc>
          <w:tcPr>
            <w:tcW w:w="3620" w:type="pct"/>
            <w:vAlign w:val="center"/>
          </w:tcPr>
          <w:p>
            <w:pPr>
              <w:pStyle w:val="4"/>
              <w:adjustRightInd w:val="0"/>
              <w:snapToGrid w:val="0"/>
              <w:spacing w:after="0" w:line="312" w:lineRule="auto"/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出勤、课堂表现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pct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after="0" w:line="312" w:lineRule="auto"/>
              <w:jc w:val="left"/>
              <w:rPr>
                <w:rFonts w:cs="宋体"/>
                <w:szCs w:val="21"/>
              </w:rPr>
            </w:pPr>
          </w:p>
        </w:tc>
        <w:tc>
          <w:tcPr>
            <w:tcW w:w="534" w:type="pct"/>
            <w:vAlign w:val="center"/>
          </w:tcPr>
          <w:p>
            <w:pPr>
              <w:pStyle w:val="4"/>
              <w:adjustRightInd w:val="0"/>
              <w:snapToGrid w:val="0"/>
              <w:spacing w:after="0" w:line="312" w:lineRule="auto"/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25</w:t>
            </w:r>
          </w:p>
        </w:tc>
        <w:tc>
          <w:tcPr>
            <w:tcW w:w="3620" w:type="pct"/>
            <w:vAlign w:val="center"/>
          </w:tcPr>
          <w:p>
            <w:pPr>
              <w:pStyle w:val="4"/>
              <w:adjustRightInd w:val="0"/>
              <w:snapToGrid w:val="0"/>
              <w:spacing w:after="0" w:line="312" w:lineRule="auto"/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章节测试或者作业：2次作业，3次章节测试，每次5分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pct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after="0" w:line="312" w:lineRule="auto"/>
              <w:jc w:val="left"/>
              <w:rPr>
                <w:rFonts w:cs="宋体"/>
                <w:szCs w:val="21"/>
              </w:rPr>
            </w:pPr>
          </w:p>
        </w:tc>
        <w:tc>
          <w:tcPr>
            <w:tcW w:w="534" w:type="pct"/>
            <w:vAlign w:val="center"/>
          </w:tcPr>
          <w:p>
            <w:pPr>
              <w:pStyle w:val="4"/>
              <w:adjustRightInd w:val="0"/>
              <w:snapToGrid w:val="0"/>
              <w:spacing w:after="0" w:line="312" w:lineRule="auto"/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15</w:t>
            </w:r>
          </w:p>
        </w:tc>
        <w:tc>
          <w:tcPr>
            <w:tcW w:w="3620" w:type="pct"/>
            <w:vAlign w:val="center"/>
          </w:tcPr>
          <w:p>
            <w:pPr>
              <w:pStyle w:val="4"/>
              <w:adjustRightInd w:val="0"/>
              <w:snapToGrid w:val="0"/>
              <w:spacing w:after="0" w:line="312" w:lineRule="auto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文献讲解及讨论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6" w:type="pct"/>
            <w:vAlign w:val="center"/>
          </w:tcPr>
          <w:p>
            <w:pPr>
              <w:pStyle w:val="4"/>
              <w:adjustRightInd w:val="0"/>
              <w:snapToGrid w:val="0"/>
              <w:spacing w:after="0" w:line="312" w:lineRule="auto"/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期末考试</w:t>
            </w:r>
          </w:p>
        </w:tc>
        <w:tc>
          <w:tcPr>
            <w:tcW w:w="534" w:type="pct"/>
            <w:vAlign w:val="center"/>
          </w:tcPr>
          <w:p>
            <w:pPr>
              <w:pStyle w:val="4"/>
              <w:adjustRightInd w:val="0"/>
              <w:snapToGrid w:val="0"/>
              <w:spacing w:after="0" w:line="312" w:lineRule="auto"/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50</w:t>
            </w:r>
          </w:p>
        </w:tc>
        <w:tc>
          <w:tcPr>
            <w:tcW w:w="3620" w:type="pct"/>
            <w:vAlign w:val="center"/>
          </w:tcPr>
          <w:p>
            <w:pPr>
              <w:pStyle w:val="4"/>
              <w:adjustRightInd w:val="0"/>
              <w:snapToGrid w:val="0"/>
              <w:spacing w:after="0" w:line="312" w:lineRule="auto"/>
              <w:jc w:val="left"/>
              <w:rPr>
                <w:rFonts w:cs="宋体"/>
                <w:bCs/>
                <w:color w:val="080808"/>
              </w:rPr>
            </w:pPr>
            <w:r>
              <w:rPr>
                <w:rFonts w:hint="eastAsia" w:cs="宋体"/>
                <w:bCs/>
                <w:color w:val="080808"/>
              </w:rPr>
              <w:t>全部教学内容闭卷考试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after="0" w:line="312" w:lineRule="auto"/>
              <w:jc w:val="left"/>
              <w:rPr>
                <w:rFonts w:cs="宋体"/>
                <w:bCs/>
                <w:color w:val="080808"/>
              </w:rPr>
            </w:pPr>
            <w:r>
              <w:rPr>
                <w:rFonts w:hint="eastAsia" w:cs="宋体"/>
                <w:szCs w:val="21"/>
              </w:rPr>
              <w:t>注：期末考试成绩低于50%的分数，总评不及格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pBdr>
          <w:top w:val="single" w:color="DBE5F1" w:sz="24" w:space="0"/>
          <w:left w:val="single" w:color="DBE5F1" w:sz="24" w:space="0"/>
          <w:bottom w:val="single" w:color="DBE5F1" w:sz="24" w:space="0"/>
          <w:right w:val="single" w:color="DBE5F1" w:sz="24" w:space="0"/>
        </w:pBdr>
        <w:shd w:val="clear" w:color="auto" w:fill="DBE5F1"/>
        <w:spacing w:before="120" w:after="0" w:line="360" w:lineRule="auto"/>
        <w:ind w:left="142" w:leftChars="0" w:right="248" w:rightChars="118"/>
        <w:jc w:val="left"/>
        <w:rPr>
          <w:rFonts w:hint="eastAsia" w:asciiTheme="majorHAnsi" w:hAnsiTheme="majorHAnsi" w:eastAsiaTheme="majorEastAsia" w:cstheme="majorBidi"/>
          <w:b w:val="0"/>
          <w:kern w:val="2"/>
          <w:sz w:val="24"/>
          <w:szCs w:val="24"/>
          <w:lang w:val="en-US" w:eastAsia="zh-CN"/>
        </w:rPr>
      </w:pPr>
      <w:bookmarkStart w:id="14" w:name="_Toc9128"/>
      <w:r>
        <w:rPr>
          <w:rFonts w:hint="eastAsia" w:asciiTheme="majorHAnsi" w:hAnsiTheme="majorHAnsi" w:eastAsiaTheme="majorEastAsia" w:cstheme="majorBidi"/>
          <w:b w:val="0"/>
          <w:kern w:val="2"/>
          <w:sz w:val="24"/>
          <w:szCs w:val="24"/>
          <w:lang w:val="en-US" w:eastAsia="zh-CN"/>
        </w:rPr>
        <w:t>5.教学安排</w:t>
      </w:r>
      <w:bookmarkEnd w:id="14"/>
    </w:p>
    <w:p>
      <w:pPr>
        <w:pStyle w:val="7"/>
        <w:spacing w:beforeAutospacing="0" w:afterAutospacing="0" w:line="360" w:lineRule="auto"/>
        <w:ind w:left="141" w:leftChars="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课程共安排24课时，具体内容如下：</w:t>
      </w:r>
    </w:p>
    <w:tbl>
      <w:tblPr>
        <w:tblStyle w:val="9"/>
        <w:tblW w:w="892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"/>
        <w:gridCol w:w="1288"/>
        <w:gridCol w:w="406"/>
        <w:gridCol w:w="1822"/>
        <w:gridCol w:w="2932"/>
        <w:gridCol w:w="1037"/>
        <w:gridCol w:w="14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教学模块</w:t>
            </w:r>
          </w:p>
        </w:tc>
        <w:tc>
          <w:tcPr>
            <w:tcW w:w="22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教学单元</w:t>
            </w:r>
          </w:p>
        </w:tc>
        <w:tc>
          <w:tcPr>
            <w:tcW w:w="29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内容提要</w:t>
            </w: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学时数</w:t>
            </w:r>
          </w:p>
        </w:tc>
        <w:tc>
          <w:tcPr>
            <w:tcW w:w="14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授课方式和相关环节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第1章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导论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细胞生物学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细胞生物学研究的内容与现状及发展简史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课堂讲授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细胞简介</w:t>
            </w:r>
          </w:p>
        </w:tc>
        <w:tc>
          <w:tcPr>
            <w:tcW w:w="2932" w:type="dxa"/>
            <w:tcBorders>
              <w:top w:val="nil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细胞的统一性和多样性</w:t>
            </w: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细胞生物学研究方法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细胞形态结构的观察方法；细胞及其组分的分析方法；细胞培养、细胞工程与显微操作技术</w:t>
            </w: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第2章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细胞质膜和物质的跨膜运输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细胞质膜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细胞质膜的结构模型；细胞质膜的基本特征和功能；膜脂；膜蛋白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课堂讲授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物质的跨膜运输</w:t>
            </w:r>
          </w:p>
        </w:tc>
        <w:tc>
          <w:tcPr>
            <w:tcW w:w="2932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膜转运蛋白与小分子的跨膜运输；ATP驱动泵与主动运输；胞吞作用与胞吐作用</w:t>
            </w: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22" w:type="dxa"/>
            <w:vMerge w:val="continue"/>
            <w:tcBorders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</w:p>
        </w:tc>
        <w:tc>
          <w:tcPr>
            <w:tcW w:w="2932" w:type="dxa"/>
            <w:vMerge w:val="continue"/>
            <w:tcBorders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</w:p>
        </w:tc>
        <w:tc>
          <w:tcPr>
            <w:tcW w:w="2932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第3章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细胞的显微结构和亚显微结构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线粒体和叶绿体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线粒体与氧化磷酸化；叶绿体与光合作用；线粒体和叶绿体的半自主性及其起源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课堂讲授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细胞核与基因表达</w:t>
            </w:r>
          </w:p>
        </w:tc>
        <w:tc>
          <w:tcPr>
            <w:tcW w:w="29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细胞核被膜、染色质、染色质的复制与表达；核仁与核体</w:t>
            </w: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 w:val="restart"/>
            <w:tcBorders>
              <w:top w:val="nil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细胞质基质和内膜系统</w:t>
            </w:r>
          </w:p>
        </w:tc>
        <w:tc>
          <w:tcPr>
            <w:tcW w:w="293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细胞质基质的涵义及功能；细胞内膜系统及其功能</w:t>
            </w: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</w:p>
        </w:tc>
        <w:tc>
          <w:tcPr>
            <w:tcW w:w="293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细胞骨架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微丝与细胞运动；微管及其功能；中间丝</w:t>
            </w: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第1次课堂测试（第3章第一次课内容）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5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蛋白质的分选及膜泡运输</w:t>
            </w:r>
          </w:p>
        </w:tc>
        <w:tc>
          <w:tcPr>
            <w:tcW w:w="293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细胞内蛋白质的分选的基本途径与类型；细胞内膜泡运输机制</w:t>
            </w: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课堂讲授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22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核糖体</w:t>
            </w:r>
          </w:p>
        </w:tc>
        <w:tc>
          <w:tcPr>
            <w:tcW w:w="293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核糖体的类型与结构；多聚核糖体与蛋白质的合成</w:t>
            </w: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</w:p>
        </w:tc>
        <w:tc>
          <w:tcPr>
            <w:tcW w:w="293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第4章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细胞信号传导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概述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细胞通讯；信号分子与受体；信号转导系统及其特性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课堂讲授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细胞内受体介导的信号转导及G蛋白耦联受体介导的信号转导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细胞内核受体及其对基因表达的调控；G蛋白耦联受体的结构与激活；G蛋白耦联受体所介导的细胞信号转导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酶连受体介导的信号转导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受体酪氨酸激酶信号通路；细胞表面整联蛋白介导的信号转导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0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第5章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细胞增殖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细胞周期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细胞周期概述；细胞周期中各个不同时期及其主要事件；细胞周期同步化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第2次课堂测试（第4章内容）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课堂讲授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细胞分裂</w:t>
            </w:r>
          </w:p>
        </w:tc>
        <w:tc>
          <w:tcPr>
            <w:tcW w:w="293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有丝分裂和减数分裂</w:t>
            </w: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课堂讲授</w:t>
            </w:r>
          </w:p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</w:p>
        </w:tc>
        <w:tc>
          <w:tcPr>
            <w:tcW w:w="293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 w:val="restart"/>
            <w:tcBorders>
              <w:top w:val="nil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细胞增殖调控与癌细胞</w:t>
            </w:r>
          </w:p>
        </w:tc>
        <w:tc>
          <w:tcPr>
            <w:tcW w:w="293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细胞增殖调控的机制；癌细胞的基本特征</w:t>
            </w: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</w:p>
        </w:tc>
        <w:tc>
          <w:tcPr>
            <w:tcW w:w="29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第6章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细胞分化、衰老和凋亡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细胞分化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细胞分化的概念；细胞的全能性与多能干细胞；影响细胞分化的因素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细胞死亡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动物细胞的程序性死亡；凋亡的特点、检测方法及分子机制；细胞坏死；细胞自噬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课堂讲授及自主学习</w:t>
            </w:r>
          </w:p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</w:p>
        </w:tc>
        <w:tc>
          <w:tcPr>
            <w:tcW w:w="2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海洋生物细胞生物学相关研究的文献汇报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学生阅读海洋生物细胞生物学研究相关文献并进行文献汇报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第7章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细胞的社会联系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细胞外基质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细胞外基质的组成和功能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课堂讲授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28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细胞连接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细胞连接的方式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</w:trPr>
        <w:tc>
          <w:tcPr>
            <w:tcW w:w="2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课程总结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课程内容复习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将各章内容进行串讲，引导学生复习回顾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合计学时：22学时（教师讲授）+2学时（学生自主学习）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pBdr>
          <w:top w:val="single" w:color="DBE5F1" w:sz="24" w:space="0"/>
          <w:left w:val="single" w:color="DBE5F1" w:sz="24" w:space="0"/>
          <w:bottom w:val="single" w:color="DBE5F1" w:sz="24" w:space="0"/>
          <w:right w:val="single" w:color="DBE5F1" w:sz="24" w:space="0"/>
        </w:pBdr>
        <w:shd w:val="clear" w:color="auto" w:fill="DBE5F1"/>
        <w:spacing w:before="120" w:after="0" w:line="360" w:lineRule="auto"/>
        <w:ind w:left="142" w:leftChars="0" w:right="248" w:rightChars="118"/>
        <w:jc w:val="left"/>
        <w:rPr>
          <w:rFonts w:hint="eastAsia" w:asciiTheme="majorHAnsi" w:hAnsiTheme="majorHAnsi" w:eastAsiaTheme="majorEastAsia" w:cstheme="majorBidi"/>
          <w:b w:val="0"/>
          <w:bCs/>
          <w:kern w:val="2"/>
          <w:sz w:val="24"/>
          <w:szCs w:val="24"/>
          <w:lang w:val="en-US" w:eastAsia="zh-CN"/>
        </w:rPr>
      </w:pPr>
      <w:bookmarkStart w:id="15" w:name="_Toc13513"/>
      <w:r>
        <w:rPr>
          <w:rFonts w:hint="eastAsia" w:asciiTheme="majorHAnsi" w:hAnsiTheme="majorHAnsi" w:eastAsiaTheme="majorEastAsia" w:cstheme="majorBidi"/>
          <w:b w:val="0"/>
          <w:bCs/>
          <w:kern w:val="2"/>
          <w:sz w:val="24"/>
          <w:szCs w:val="24"/>
          <w:lang w:val="en-US" w:eastAsia="zh-CN"/>
        </w:rPr>
        <w:t>6.参考教材及相关资料</w:t>
      </w:r>
      <w:bookmarkEnd w:id="15"/>
    </w:p>
    <w:p>
      <w:pPr>
        <w:pStyle w:val="7"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《细胞生物学》（国家“十二五”规划教材），翟中和编著，高等教育出版社，2011.6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pBdr>
          <w:top w:val="single" w:color="DBE5F1" w:sz="24" w:space="0"/>
          <w:left w:val="single" w:color="DBE5F1" w:sz="24" w:space="0"/>
          <w:bottom w:val="single" w:color="DBE5F1" w:sz="24" w:space="0"/>
          <w:right w:val="single" w:color="DBE5F1" w:sz="24" w:space="0"/>
        </w:pBdr>
        <w:shd w:val="clear" w:color="auto" w:fill="DBE5F1"/>
        <w:spacing w:before="120" w:after="0" w:line="360" w:lineRule="auto"/>
        <w:ind w:left="142" w:leftChars="0" w:right="248" w:rightChars="118"/>
        <w:jc w:val="left"/>
        <w:rPr>
          <w:rFonts w:hint="eastAsia" w:asciiTheme="majorHAnsi" w:hAnsiTheme="majorHAnsi" w:eastAsiaTheme="majorEastAsia" w:cstheme="majorBidi"/>
          <w:b w:val="0"/>
          <w:bCs/>
          <w:kern w:val="2"/>
          <w:sz w:val="24"/>
          <w:szCs w:val="24"/>
          <w:lang w:val="en-US" w:eastAsia="zh-CN"/>
        </w:rPr>
      </w:pPr>
      <w:bookmarkStart w:id="16" w:name="_Toc10476"/>
      <w:r>
        <w:rPr>
          <w:rFonts w:hint="eastAsia" w:asciiTheme="majorHAnsi" w:hAnsiTheme="majorHAnsi" w:eastAsiaTheme="majorEastAsia" w:cstheme="majorBidi"/>
          <w:b w:val="0"/>
          <w:bCs/>
          <w:kern w:val="2"/>
          <w:sz w:val="24"/>
          <w:szCs w:val="24"/>
          <w:lang w:val="en-US" w:eastAsia="zh-CN"/>
        </w:rPr>
        <w:t>7.课程教学网站：</w:t>
      </w:r>
      <w:bookmarkEnd w:id="16"/>
    </w:p>
    <w:p>
      <w:pPr>
        <w:adjustRightInd w:val="0"/>
        <w:snapToGrid w:val="0"/>
        <w:spacing w:before="156" w:beforeLines="50"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运用</w:t>
      </w:r>
      <w:r>
        <w:rPr>
          <w:rFonts w:ascii="Times New Roman" w:hAnsi="Times New Roman" w:eastAsia="宋体" w:cs="Times New Roman"/>
          <w:kern w:val="0"/>
          <w:szCs w:val="21"/>
        </w:rPr>
        <w:t>“</w:t>
      </w:r>
      <w:r>
        <w:rPr>
          <w:rFonts w:hint="eastAsia" w:ascii="Times New Roman" w:hAnsi="Times New Roman" w:eastAsia="宋体" w:cs="Times New Roman"/>
          <w:kern w:val="0"/>
          <w:szCs w:val="21"/>
        </w:rPr>
        <w:t>学在浙大</w:t>
      </w:r>
      <w:r>
        <w:rPr>
          <w:rFonts w:ascii="Times New Roman" w:hAnsi="Times New Roman" w:eastAsia="宋体" w:cs="Times New Roman"/>
          <w:kern w:val="0"/>
          <w:szCs w:val="21"/>
        </w:rPr>
        <w:t>”</w:t>
      </w:r>
      <w:r>
        <w:rPr>
          <w:rFonts w:hint="eastAsia" w:ascii="Times New Roman" w:hAnsi="Times New Roman" w:eastAsia="宋体" w:cs="Times New Roman"/>
          <w:kern w:val="0"/>
          <w:szCs w:val="21"/>
        </w:rPr>
        <w:t>教学平台建设课程网站，提供课程教学资源。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kern w:val="0"/>
          <w:szCs w:val="21"/>
        </w:rPr>
        <w:t xml:space="preserve"> 网址：</w:t>
      </w:r>
      <w:r>
        <w:rPr>
          <w:rFonts w:ascii="Times New Roman" w:hAnsi="Times New Roman" w:eastAsia="宋体" w:cs="Times New Roman"/>
          <w:kern w:val="0"/>
          <w:szCs w:val="21"/>
        </w:rPr>
        <w:t>http://course.zju.edu.cn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Heiti SC Medium">
    <w:altName w:val="Yu Gothic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03139"/>
    <w:multiLevelType w:val="multilevel"/>
    <w:tmpl w:val="6A603139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2."/>
      <w:lvlJc w:val="left"/>
      <w:pPr>
        <w:ind w:left="842" w:hanging="360"/>
      </w:pPr>
      <w:rPr>
        <w:rFonts w:ascii="Times New Roman" w:hAnsi="Times New Roman" w:eastAsia="宋体" w:cs="Times New Roman"/>
      </w:rPr>
    </w:lvl>
    <w:lvl w:ilvl="2" w:tentative="0">
      <w:start w:val="1"/>
      <w:numFmt w:val="decimal"/>
      <w:isLgl/>
      <w:lvlText w:val="%1.%2.%3"/>
      <w:lvlJc w:val="left"/>
      <w:pPr>
        <w:ind w:left="1684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166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3008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49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4332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5174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6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EEEC65E9-C00C-4024-A71B-5885A0165981}"/>
    <w:docVar w:name="KY_MEDREF_VERSION" w:val="3"/>
  </w:docVars>
  <w:rsids>
    <w:rsidRoot w:val="00BC7C3F"/>
    <w:rsid w:val="0018178E"/>
    <w:rsid w:val="00577E1A"/>
    <w:rsid w:val="005A25D8"/>
    <w:rsid w:val="007E3F4F"/>
    <w:rsid w:val="00855064"/>
    <w:rsid w:val="00BC7C3F"/>
    <w:rsid w:val="00C362B2"/>
    <w:rsid w:val="00E82920"/>
    <w:rsid w:val="1C4A1522"/>
    <w:rsid w:val="55413233"/>
    <w:rsid w:val="61CF73B3"/>
    <w:rsid w:val="7ECA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line="264" w:lineRule="auto"/>
      <w:jc w:val="center"/>
      <w:outlineLvl w:val="1"/>
    </w:pPr>
    <w:rPr>
      <w:rFonts w:ascii="Times New Roman" w:hAnsi="Times New Roman" w:eastAsia="Heiti SC Medium" w:cs="宋体"/>
      <w:bCs/>
      <w:kern w:val="0"/>
      <w:sz w:val="28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unhideWhenUsed/>
    <w:qFormat/>
    <w:uiPriority w:val="1"/>
    <w:pPr>
      <w:spacing w:after="12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页眉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5"/>
    <w:uiPriority w:val="99"/>
    <w:rPr>
      <w:kern w:val="2"/>
      <w:sz w:val="18"/>
      <w:szCs w:val="18"/>
    </w:rPr>
  </w:style>
  <w:style w:type="character" w:customStyle="1" w:styleId="14">
    <w:name w:val="标题 2 Char"/>
    <w:basedOn w:val="10"/>
    <w:link w:val="2"/>
    <w:qFormat/>
    <w:uiPriority w:val="9"/>
    <w:rPr>
      <w:rFonts w:eastAsia="Heiti SC Medium" w:cs="宋体"/>
      <w:bCs/>
      <w:sz w:val="28"/>
      <w:szCs w:val="36"/>
    </w:rPr>
  </w:style>
  <w:style w:type="character" w:customStyle="1" w:styleId="15">
    <w:name w:val="正文文本 Char"/>
    <w:basedOn w:val="10"/>
    <w:link w:val="4"/>
    <w:uiPriority w:val="1"/>
    <w:rPr>
      <w:kern w:val="2"/>
      <w:sz w:val="21"/>
      <w:szCs w:val="22"/>
    </w:rPr>
  </w:style>
  <w:style w:type="paragraph" w:customStyle="1" w:styleId="16">
    <w:name w:val="WPSOffice手动目录 2"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7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608</Words>
  <Characters>3466</Characters>
  <Lines>28</Lines>
  <Paragraphs>8</Paragraphs>
  <TotalTime>2</TotalTime>
  <ScaleCrop>false</ScaleCrop>
  <LinksUpToDate>false</LinksUpToDate>
  <CharactersWithSpaces>4066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2020-09-22T13:07:00Z</dcterms:created>
  <dc:creator>dwj</dc:creator>
  <cp:lastModifiedBy>涛涛</cp:lastModifiedBy>
  <dcterms:modified xsi:type="dcterms:W3CDTF">2020-11-28T10:01:08Z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